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B7DB29" w14:textId="77777777" w:rsidR="005F4695" w:rsidRDefault="00524F34" w:rsidP="00524F34">
      <w:pPr>
        <w:spacing w:after="0" w:line="360" w:lineRule="auto"/>
        <w:jc w:val="both"/>
        <w:rPr>
          <w:rFonts w:ascii="Arial" w:hAnsi="Arial" w:cs="Arial"/>
          <w:b/>
          <w:sz w:val="28"/>
          <w:szCs w:val="28"/>
        </w:rPr>
      </w:pPr>
      <w:bookmarkStart w:id="0" w:name="_GoBack"/>
      <w:bookmarkEnd w:id="0"/>
      <w:r>
        <w:rPr>
          <w:rFonts w:ascii="Arial" w:hAnsi="Arial" w:cs="Arial"/>
          <w:b/>
          <w:sz w:val="28"/>
          <w:szCs w:val="28"/>
        </w:rPr>
        <w:t xml:space="preserve">PALABRAS DEL DEFENSOR DEL PUEBLO </w:t>
      </w:r>
    </w:p>
    <w:p w14:paraId="4A027D4C" w14:textId="0C2E1850" w:rsidR="005F4695" w:rsidRDefault="00524F34" w:rsidP="00524F34">
      <w:pPr>
        <w:spacing w:after="0" w:line="360" w:lineRule="auto"/>
        <w:jc w:val="both"/>
        <w:rPr>
          <w:rFonts w:ascii="Arial" w:hAnsi="Arial" w:cs="Arial"/>
          <w:b/>
          <w:sz w:val="28"/>
          <w:szCs w:val="28"/>
        </w:rPr>
      </w:pPr>
      <w:r>
        <w:rPr>
          <w:rFonts w:ascii="Arial" w:hAnsi="Arial" w:cs="Arial"/>
          <w:b/>
          <w:sz w:val="28"/>
          <w:szCs w:val="28"/>
        </w:rPr>
        <w:t xml:space="preserve">AUDIENCIA PÚBLICA SOBRE </w:t>
      </w:r>
      <w:r w:rsidR="00334634">
        <w:rPr>
          <w:rFonts w:ascii="Arial" w:hAnsi="Arial" w:cs="Arial"/>
          <w:b/>
          <w:sz w:val="28"/>
          <w:szCs w:val="28"/>
        </w:rPr>
        <w:t>PROYECTO DE LEY ESTATUTARIA NO. 94 DE 2015 SENADO – 156 DE 2015 CÁMARA (PLEBISCITO PARA LA REFRENDACIÓN DEL ACUERDO FINAL)</w:t>
      </w:r>
      <w:r>
        <w:rPr>
          <w:rFonts w:ascii="Arial" w:hAnsi="Arial" w:cs="Arial"/>
          <w:b/>
          <w:sz w:val="28"/>
          <w:szCs w:val="28"/>
        </w:rPr>
        <w:t xml:space="preserve"> </w:t>
      </w:r>
    </w:p>
    <w:p w14:paraId="55503F4E" w14:textId="5C8DAD57" w:rsidR="009A0810" w:rsidRDefault="00524F34" w:rsidP="00524F34">
      <w:pPr>
        <w:spacing w:after="0" w:line="360" w:lineRule="auto"/>
        <w:jc w:val="both"/>
        <w:rPr>
          <w:rFonts w:ascii="Arial" w:hAnsi="Arial" w:cs="Arial"/>
          <w:b/>
          <w:sz w:val="28"/>
          <w:szCs w:val="28"/>
        </w:rPr>
      </w:pPr>
      <w:r>
        <w:rPr>
          <w:rFonts w:ascii="Arial" w:hAnsi="Arial" w:cs="Arial"/>
          <w:b/>
          <w:sz w:val="28"/>
          <w:szCs w:val="28"/>
        </w:rPr>
        <w:t>CORTE CONSTITUCIONAL – 30 DE JULIO DE 2015</w:t>
      </w:r>
    </w:p>
    <w:p w14:paraId="029985E8" w14:textId="77777777" w:rsidR="00524F34" w:rsidRDefault="00524F34" w:rsidP="00524F34">
      <w:pPr>
        <w:spacing w:after="0" w:line="360" w:lineRule="auto"/>
        <w:jc w:val="both"/>
        <w:rPr>
          <w:rFonts w:ascii="Arial" w:hAnsi="Arial" w:cs="Arial"/>
          <w:sz w:val="28"/>
          <w:szCs w:val="28"/>
        </w:rPr>
      </w:pPr>
    </w:p>
    <w:p w14:paraId="56B2C9CE" w14:textId="77777777" w:rsidR="00524F34" w:rsidRDefault="00524F34" w:rsidP="00524F34">
      <w:pPr>
        <w:spacing w:after="0" w:line="360" w:lineRule="auto"/>
        <w:jc w:val="both"/>
        <w:rPr>
          <w:rFonts w:ascii="Arial" w:hAnsi="Arial" w:cs="Arial"/>
          <w:sz w:val="28"/>
          <w:szCs w:val="28"/>
        </w:rPr>
      </w:pPr>
      <w:r>
        <w:rPr>
          <w:rFonts w:ascii="Arial" w:hAnsi="Arial" w:cs="Arial"/>
          <w:sz w:val="28"/>
          <w:szCs w:val="28"/>
        </w:rPr>
        <w:t>[Saludos Protocolarios]</w:t>
      </w:r>
    </w:p>
    <w:p w14:paraId="423FCF8D" w14:textId="77777777" w:rsidR="005F4695" w:rsidRDefault="005F4695" w:rsidP="001A2E50">
      <w:pPr>
        <w:spacing w:after="0" w:line="360" w:lineRule="auto"/>
        <w:jc w:val="both"/>
        <w:rPr>
          <w:rFonts w:ascii="Arial" w:hAnsi="Arial" w:cs="Arial"/>
          <w:sz w:val="28"/>
          <w:szCs w:val="28"/>
        </w:rPr>
      </w:pPr>
    </w:p>
    <w:p w14:paraId="1B47FD25" w14:textId="1E763126" w:rsidR="00334634" w:rsidRDefault="00334634" w:rsidP="001A2E50">
      <w:pPr>
        <w:spacing w:after="0" w:line="360" w:lineRule="auto"/>
        <w:jc w:val="both"/>
        <w:rPr>
          <w:rFonts w:ascii="Arial" w:hAnsi="Arial" w:cs="Arial"/>
          <w:sz w:val="28"/>
          <w:szCs w:val="28"/>
        </w:rPr>
      </w:pPr>
      <w:r>
        <w:rPr>
          <w:rFonts w:ascii="Arial" w:hAnsi="Arial" w:cs="Arial"/>
          <w:sz w:val="28"/>
          <w:szCs w:val="28"/>
        </w:rPr>
        <w:t xml:space="preserve">Agradezco a la Corte Constitucional por la apertura de este escenario de participación y por la invitación realizada a la Defensoría del Pueblo para rendir concepto sobre el mecanismo de refrendación del Acuerdo Final de Paz aprobado por el Congreso de la República. </w:t>
      </w:r>
    </w:p>
    <w:p w14:paraId="37483DF8" w14:textId="77777777" w:rsidR="00334634" w:rsidRDefault="00334634" w:rsidP="001A2E50">
      <w:pPr>
        <w:spacing w:after="0" w:line="360" w:lineRule="auto"/>
        <w:jc w:val="both"/>
        <w:rPr>
          <w:rFonts w:ascii="Arial" w:hAnsi="Arial" w:cs="Arial"/>
          <w:sz w:val="28"/>
          <w:szCs w:val="28"/>
        </w:rPr>
      </w:pPr>
    </w:p>
    <w:p w14:paraId="697E31A7" w14:textId="12C7D958" w:rsidR="00334634" w:rsidRDefault="00334634" w:rsidP="001A2E50">
      <w:pPr>
        <w:spacing w:after="0" w:line="360" w:lineRule="auto"/>
        <w:jc w:val="both"/>
        <w:rPr>
          <w:rFonts w:ascii="Arial" w:hAnsi="Arial" w:cs="Arial"/>
          <w:sz w:val="28"/>
          <w:szCs w:val="28"/>
        </w:rPr>
      </w:pPr>
      <w:r>
        <w:rPr>
          <w:rFonts w:ascii="Arial" w:hAnsi="Arial" w:cs="Arial"/>
          <w:sz w:val="28"/>
          <w:szCs w:val="28"/>
        </w:rPr>
        <w:t>Mi intervención va a seguir el orden temático propuesto por la Honorable Corte Constitucional mediante su auto de convocatoria a esta audiencia. De esta manera, comenzaré mi intervención pronunciándome sobre la idoneidad del plebiscito como mecanismo de refrendación; posteriormente me referiré a la constitucionalidad del umbral de aprobación del 13%; haré una breve reflexión sobre el carácter vinculante de la decisión que el pueblo tome al acudir a las urnas: y en último lugar me referiré a las garantías de divulgación del Acuerdo Final y la participación de los servidores públicos en este asunto. Terminaré esta intervención con las solicitudes que la Defensoría del Pueblo realiza para que sean tenidas por la Corte al momento de decidir el control de constitucionalidad del proyecto de ley estatutaria que hoy nos convoca.</w:t>
      </w:r>
    </w:p>
    <w:p w14:paraId="5BAC1788" w14:textId="77777777" w:rsidR="0024149F" w:rsidRDefault="0024149F" w:rsidP="001A2E50">
      <w:pPr>
        <w:spacing w:after="0" w:line="360" w:lineRule="auto"/>
        <w:jc w:val="both"/>
        <w:rPr>
          <w:rFonts w:ascii="Arial" w:hAnsi="Arial" w:cs="Arial"/>
          <w:sz w:val="28"/>
          <w:szCs w:val="28"/>
        </w:rPr>
      </w:pPr>
    </w:p>
    <w:p w14:paraId="7743D0E0" w14:textId="478DBB9A" w:rsidR="007D2812" w:rsidRDefault="00AE61D2" w:rsidP="001A2E50">
      <w:pPr>
        <w:spacing w:after="0" w:line="360" w:lineRule="auto"/>
        <w:jc w:val="both"/>
        <w:rPr>
          <w:rFonts w:ascii="Arial" w:hAnsi="Arial" w:cs="Arial"/>
          <w:sz w:val="28"/>
          <w:szCs w:val="28"/>
        </w:rPr>
      </w:pPr>
      <w:r>
        <w:rPr>
          <w:rFonts w:ascii="Arial" w:hAnsi="Arial" w:cs="Arial"/>
          <w:sz w:val="28"/>
          <w:szCs w:val="28"/>
        </w:rPr>
        <w:lastRenderedPageBreak/>
        <w:t>Para comen</w:t>
      </w:r>
      <w:r w:rsidR="0024149F">
        <w:rPr>
          <w:rFonts w:ascii="Arial" w:hAnsi="Arial" w:cs="Arial"/>
          <w:sz w:val="28"/>
          <w:szCs w:val="28"/>
        </w:rPr>
        <w:t xml:space="preserve">zar quisiera </w:t>
      </w:r>
      <w:r>
        <w:rPr>
          <w:rFonts w:ascii="Arial" w:hAnsi="Arial" w:cs="Arial"/>
          <w:sz w:val="28"/>
          <w:szCs w:val="28"/>
        </w:rPr>
        <w:t>exponer</w:t>
      </w:r>
      <w:r w:rsidR="0024149F">
        <w:rPr>
          <w:rFonts w:ascii="Arial" w:hAnsi="Arial" w:cs="Arial"/>
          <w:sz w:val="28"/>
          <w:szCs w:val="28"/>
        </w:rPr>
        <w:t xml:space="preserve"> </w:t>
      </w:r>
      <w:r>
        <w:rPr>
          <w:rFonts w:ascii="Arial" w:hAnsi="Arial" w:cs="Arial"/>
          <w:sz w:val="28"/>
          <w:szCs w:val="28"/>
        </w:rPr>
        <w:t>l</w:t>
      </w:r>
      <w:r w:rsidR="0024149F">
        <w:rPr>
          <w:rFonts w:ascii="Arial" w:hAnsi="Arial" w:cs="Arial"/>
          <w:sz w:val="28"/>
          <w:szCs w:val="28"/>
        </w:rPr>
        <w:t xml:space="preserve">a tesis principal que sostiene la Defensoría del Pueblo para la discusión del mecanismo de refrendación y de todas las demás que se presentan alrededor del Acuerdo Final y su proceso de implementación. </w:t>
      </w:r>
      <w:r>
        <w:rPr>
          <w:rFonts w:ascii="Arial" w:hAnsi="Arial" w:cs="Arial"/>
          <w:sz w:val="28"/>
          <w:szCs w:val="28"/>
        </w:rPr>
        <w:t>La</w:t>
      </w:r>
      <w:r w:rsidR="0024149F">
        <w:rPr>
          <w:rFonts w:ascii="Arial" w:hAnsi="Arial" w:cs="Arial"/>
          <w:sz w:val="28"/>
          <w:szCs w:val="28"/>
        </w:rPr>
        <w:t xml:space="preserve"> tesis es: “</w:t>
      </w:r>
      <w:r w:rsidR="0024149F" w:rsidRPr="0024149F">
        <w:rPr>
          <w:rFonts w:ascii="Arial" w:hAnsi="Arial" w:cs="Arial"/>
          <w:i/>
          <w:sz w:val="28"/>
          <w:szCs w:val="28"/>
        </w:rPr>
        <w:t>Una paz estable y duradera depende de un Acuerdo Final que logre equilibrar un blindaje jurídico sólido con una legitimidad democrática irrefutable</w:t>
      </w:r>
      <w:r w:rsidR="0024149F">
        <w:rPr>
          <w:rFonts w:ascii="Arial" w:hAnsi="Arial" w:cs="Arial"/>
          <w:sz w:val="28"/>
          <w:szCs w:val="28"/>
        </w:rPr>
        <w:t xml:space="preserve">.” </w:t>
      </w:r>
    </w:p>
    <w:p w14:paraId="49259F4E" w14:textId="77777777" w:rsidR="007D2812" w:rsidRDefault="007D2812" w:rsidP="001A2E50">
      <w:pPr>
        <w:spacing w:after="0" w:line="360" w:lineRule="auto"/>
        <w:jc w:val="both"/>
        <w:rPr>
          <w:rFonts w:ascii="Arial" w:hAnsi="Arial" w:cs="Arial"/>
          <w:sz w:val="28"/>
          <w:szCs w:val="28"/>
        </w:rPr>
      </w:pPr>
    </w:p>
    <w:p w14:paraId="740FAB13" w14:textId="52FB4561" w:rsidR="0024149F" w:rsidRDefault="002631E5" w:rsidP="001A2E50">
      <w:pPr>
        <w:spacing w:after="0" w:line="360" w:lineRule="auto"/>
        <w:jc w:val="both"/>
        <w:rPr>
          <w:rFonts w:ascii="Arial" w:hAnsi="Arial" w:cs="Arial"/>
          <w:sz w:val="28"/>
          <w:szCs w:val="28"/>
        </w:rPr>
      </w:pPr>
      <w:r>
        <w:rPr>
          <w:rFonts w:ascii="Arial" w:hAnsi="Arial" w:cs="Arial"/>
          <w:sz w:val="28"/>
          <w:szCs w:val="28"/>
        </w:rPr>
        <w:t xml:space="preserve">Sin blindaje jurídico ninguna de las partes podría tener la confianza suficiente de firmar un acuerdo, pues este tendría alta probabilidades de ser incumplido. Este debate está siendo abordado por el Congreso de la República en su discusión del proyecto de acto legislativo, y eventualmente será objeto de control por parte de la Corte. </w:t>
      </w:r>
    </w:p>
    <w:p w14:paraId="4922B15E" w14:textId="77777777" w:rsidR="002631E5" w:rsidRDefault="002631E5" w:rsidP="001A2E50">
      <w:pPr>
        <w:spacing w:after="0" w:line="360" w:lineRule="auto"/>
        <w:jc w:val="both"/>
        <w:rPr>
          <w:rFonts w:ascii="Arial" w:hAnsi="Arial" w:cs="Arial"/>
          <w:sz w:val="28"/>
          <w:szCs w:val="28"/>
        </w:rPr>
      </w:pPr>
    </w:p>
    <w:p w14:paraId="50443DC0" w14:textId="79219AC2" w:rsidR="00CC6987" w:rsidRDefault="002631E5" w:rsidP="001A2E50">
      <w:pPr>
        <w:spacing w:after="0" w:line="360" w:lineRule="auto"/>
        <w:jc w:val="both"/>
        <w:rPr>
          <w:rFonts w:ascii="Arial" w:hAnsi="Arial" w:cs="Arial"/>
          <w:sz w:val="28"/>
          <w:szCs w:val="28"/>
        </w:rPr>
      </w:pPr>
      <w:r>
        <w:rPr>
          <w:rFonts w:ascii="Arial" w:hAnsi="Arial" w:cs="Arial"/>
          <w:sz w:val="28"/>
          <w:szCs w:val="28"/>
        </w:rPr>
        <w:t xml:space="preserve">Pero </w:t>
      </w:r>
      <w:r w:rsidR="00AF39E9">
        <w:rPr>
          <w:rFonts w:ascii="Arial" w:hAnsi="Arial" w:cs="Arial"/>
          <w:sz w:val="28"/>
          <w:szCs w:val="28"/>
        </w:rPr>
        <w:t>antes</w:t>
      </w:r>
      <w:r>
        <w:rPr>
          <w:rFonts w:ascii="Arial" w:hAnsi="Arial" w:cs="Arial"/>
          <w:sz w:val="28"/>
          <w:szCs w:val="28"/>
        </w:rPr>
        <w:t xml:space="preserve"> de ese blindaje jurídico</w:t>
      </w:r>
      <w:r w:rsidR="00AF39E9">
        <w:rPr>
          <w:rFonts w:ascii="Arial" w:hAnsi="Arial" w:cs="Arial"/>
          <w:sz w:val="28"/>
          <w:szCs w:val="28"/>
        </w:rPr>
        <w:t>,</w:t>
      </w:r>
      <w:r w:rsidR="00AE61D2">
        <w:rPr>
          <w:rFonts w:ascii="Arial" w:hAnsi="Arial" w:cs="Arial"/>
          <w:sz w:val="28"/>
          <w:szCs w:val="28"/>
        </w:rPr>
        <w:t xml:space="preserve"> es necesaria la</w:t>
      </w:r>
      <w:r>
        <w:rPr>
          <w:rFonts w:ascii="Arial" w:hAnsi="Arial" w:cs="Arial"/>
          <w:sz w:val="28"/>
          <w:szCs w:val="28"/>
        </w:rPr>
        <w:t xml:space="preserve"> legitimación política mediante una expresión clara de la ciudadanía. </w:t>
      </w:r>
      <w:r w:rsidR="00CC6987">
        <w:rPr>
          <w:rFonts w:ascii="Arial" w:hAnsi="Arial" w:cs="Arial"/>
          <w:sz w:val="28"/>
          <w:szCs w:val="28"/>
        </w:rPr>
        <w:t xml:space="preserve">La participación democrática permite que todas las posiciones políticas, a favor o en contra del Acuerdo Final, sean sometidas a la deliberación pública y entre todas ellas se defina en las urnas cuál es la que más y mejor representa los intereses de la ciudadanía en general. Al ser sometidas a la discusión democrática, toda postura tiene la oportunidad de ser escuchada y tomada en serio. De no ser así, si no se abrieran espacios de participación, </w:t>
      </w:r>
      <w:r w:rsidR="00310BF5">
        <w:rPr>
          <w:rFonts w:ascii="Arial" w:hAnsi="Arial" w:cs="Arial"/>
          <w:sz w:val="28"/>
          <w:szCs w:val="28"/>
        </w:rPr>
        <w:t>esas opiniones minoritarias o invisibilizadas podrían entrar en tensión con el Acuerdo Final y, en últimas, podría</w:t>
      </w:r>
      <w:r w:rsidR="00AE61D2">
        <w:rPr>
          <w:rFonts w:ascii="Arial" w:hAnsi="Arial" w:cs="Arial"/>
          <w:sz w:val="28"/>
          <w:szCs w:val="28"/>
        </w:rPr>
        <w:t>n</w:t>
      </w:r>
      <w:r w:rsidR="00310BF5">
        <w:rPr>
          <w:rFonts w:ascii="Arial" w:hAnsi="Arial" w:cs="Arial"/>
          <w:sz w:val="28"/>
          <w:szCs w:val="28"/>
        </w:rPr>
        <w:t xml:space="preserve"> poner en entredicho el carácter estable y duradero que todas y todos buscamos para la paz en Colombia.</w:t>
      </w:r>
      <w:r w:rsidR="0065171E">
        <w:rPr>
          <w:rFonts w:ascii="Arial" w:hAnsi="Arial" w:cs="Arial"/>
          <w:sz w:val="28"/>
          <w:szCs w:val="28"/>
        </w:rPr>
        <w:t xml:space="preserve"> Estoy convencido como Defensor del Pueblo que una paz lograda democráticamente y en la que todas y todos pueden expresar su posición es mucho más sólida que una paz lograda mediante meros legalismos que solo un grupo especializado de personas logra entender. </w:t>
      </w:r>
    </w:p>
    <w:p w14:paraId="2BC56E57" w14:textId="77777777" w:rsidR="00583309" w:rsidRDefault="00583309" w:rsidP="001A2E50">
      <w:pPr>
        <w:spacing w:after="0" w:line="360" w:lineRule="auto"/>
        <w:jc w:val="both"/>
        <w:rPr>
          <w:rFonts w:ascii="Arial" w:hAnsi="Arial" w:cs="Arial"/>
          <w:sz w:val="28"/>
          <w:szCs w:val="28"/>
        </w:rPr>
      </w:pPr>
    </w:p>
    <w:p w14:paraId="02DA8F50" w14:textId="6ADF7A00" w:rsidR="005140D7" w:rsidRDefault="002631E5" w:rsidP="001A2E50">
      <w:pPr>
        <w:spacing w:after="0" w:line="360" w:lineRule="auto"/>
        <w:jc w:val="both"/>
        <w:rPr>
          <w:rFonts w:ascii="Arial" w:hAnsi="Arial" w:cs="Arial"/>
          <w:sz w:val="28"/>
          <w:szCs w:val="28"/>
        </w:rPr>
      </w:pPr>
      <w:r>
        <w:rPr>
          <w:rFonts w:ascii="Arial" w:hAnsi="Arial" w:cs="Arial"/>
          <w:sz w:val="28"/>
          <w:szCs w:val="28"/>
        </w:rPr>
        <w:t>Este es el asunto que</w:t>
      </w:r>
      <w:r w:rsidR="00310BF5">
        <w:rPr>
          <w:rFonts w:ascii="Arial" w:hAnsi="Arial" w:cs="Arial"/>
          <w:sz w:val="28"/>
          <w:szCs w:val="28"/>
        </w:rPr>
        <w:t xml:space="preserve"> hoy</w:t>
      </w:r>
      <w:r>
        <w:rPr>
          <w:rFonts w:ascii="Arial" w:hAnsi="Arial" w:cs="Arial"/>
          <w:sz w:val="28"/>
          <w:szCs w:val="28"/>
        </w:rPr>
        <w:t xml:space="preserve"> nos convoca. La pregunta central a resolver es si </w:t>
      </w:r>
      <w:r w:rsidR="00CC6987">
        <w:rPr>
          <w:rFonts w:ascii="Arial" w:hAnsi="Arial" w:cs="Arial"/>
          <w:sz w:val="28"/>
          <w:szCs w:val="28"/>
        </w:rPr>
        <w:t xml:space="preserve">el plebiscito propuesto </w:t>
      </w:r>
      <w:r>
        <w:rPr>
          <w:rFonts w:ascii="Arial" w:hAnsi="Arial" w:cs="Arial"/>
          <w:sz w:val="28"/>
          <w:szCs w:val="28"/>
        </w:rPr>
        <w:t xml:space="preserve">en el proyecto de ley estatutaria </w:t>
      </w:r>
      <w:r w:rsidR="00CC6987">
        <w:rPr>
          <w:rFonts w:ascii="Arial" w:hAnsi="Arial" w:cs="Arial"/>
          <w:sz w:val="28"/>
          <w:szCs w:val="28"/>
        </w:rPr>
        <w:t xml:space="preserve">es o no lo suficientemente democrático para asegurar que el pueblo </w:t>
      </w:r>
      <w:r w:rsidR="00310BF5">
        <w:rPr>
          <w:rFonts w:ascii="Arial" w:hAnsi="Arial" w:cs="Arial"/>
          <w:sz w:val="28"/>
          <w:szCs w:val="28"/>
        </w:rPr>
        <w:t xml:space="preserve">exprese de manera clara y contundente si está a favor o en contra de la implementación del Acuerdo Final que pacten el gobierno y la guerrilla en La Habana. </w:t>
      </w:r>
      <w:r w:rsidR="00CC6987">
        <w:rPr>
          <w:rFonts w:ascii="Arial" w:hAnsi="Arial" w:cs="Arial"/>
          <w:sz w:val="28"/>
          <w:szCs w:val="28"/>
        </w:rPr>
        <w:t xml:space="preserve"> </w:t>
      </w:r>
      <w:r w:rsidR="0065171E">
        <w:rPr>
          <w:rFonts w:ascii="Arial" w:hAnsi="Arial" w:cs="Arial"/>
          <w:sz w:val="28"/>
          <w:szCs w:val="28"/>
        </w:rPr>
        <w:t>L</w:t>
      </w:r>
      <w:r w:rsidR="00AE61D2">
        <w:rPr>
          <w:rFonts w:ascii="Arial" w:hAnsi="Arial" w:cs="Arial"/>
          <w:sz w:val="28"/>
          <w:szCs w:val="28"/>
        </w:rPr>
        <w:t xml:space="preserve">e corresponde </w:t>
      </w:r>
      <w:r w:rsidR="0065171E">
        <w:rPr>
          <w:rFonts w:ascii="Arial" w:hAnsi="Arial" w:cs="Arial"/>
          <w:sz w:val="28"/>
          <w:szCs w:val="28"/>
        </w:rPr>
        <w:t xml:space="preserve">a </w:t>
      </w:r>
      <w:r w:rsidR="00AE61D2">
        <w:rPr>
          <w:rFonts w:ascii="Arial" w:hAnsi="Arial" w:cs="Arial"/>
          <w:sz w:val="28"/>
          <w:szCs w:val="28"/>
        </w:rPr>
        <w:t xml:space="preserve">la </w:t>
      </w:r>
      <w:r w:rsidR="0065171E">
        <w:rPr>
          <w:rFonts w:ascii="Arial" w:hAnsi="Arial" w:cs="Arial"/>
          <w:sz w:val="28"/>
          <w:szCs w:val="28"/>
        </w:rPr>
        <w:t>Corte C</w:t>
      </w:r>
      <w:r w:rsidR="005140D7">
        <w:rPr>
          <w:rFonts w:ascii="Arial" w:hAnsi="Arial" w:cs="Arial"/>
          <w:sz w:val="28"/>
          <w:szCs w:val="28"/>
        </w:rPr>
        <w:t>onstitucional decidir si el plebiscito promueve la suficiente participación democrática sobre este asunto, o si por el contrario crea obstáculos que para la expresión ciudadana que no soportarían un control de constitucionalidad. En este sentido, la Defensoría del Pueblo aportará las siguientes consideraciones para que sean tenidas en cuenta por los Honorables Magistrados y Magistradas:</w:t>
      </w:r>
    </w:p>
    <w:p w14:paraId="3731F66F" w14:textId="77777777" w:rsidR="00334634" w:rsidRDefault="00334634" w:rsidP="001A2E50">
      <w:pPr>
        <w:spacing w:after="0" w:line="360" w:lineRule="auto"/>
        <w:jc w:val="both"/>
        <w:rPr>
          <w:rFonts w:ascii="Arial" w:hAnsi="Arial" w:cs="Arial"/>
          <w:sz w:val="28"/>
          <w:szCs w:val="28"/>
        </w:rPr>
      </w:pPr>
    </w:p>
    <w:p w14:paraId="17E9B05B" w14:textId="55236C46" w:rsidR="00334634" w:rsidRDefault="00F44FA5" w:rsidP="001A2E50">
      <w:pPr>
        <w:spacing w:after="0" w:line="360" w:lineRule="auto"/>
        <w:jc w:val="both"/>
        <w:rPr>
          <w:rFonts w:ascii="Arial" w:hAnsi="Arial" w:cs="Arial"/>
          <w:b/>
          <w:sz w:val="28"/>
          <w:szCs w:val="28"/>
        </w:rPr>
      </w:pPr>
      <w:r>
        <w:rPr>
          <w:rFonts w:ascii="Arial" w:hAnsi="Arial" w:cs="Arial"/>
          <w:b/>
          <w:sz w:val="28"/>
          <w:szCs w:val="28"/>
        </w:rPr>
        <w:t>I.- Sobre la idoneidad y constitucionalidad del plebiscito como mecanismo de refrendación del Acuerdo Final.</w:t>
      </w:r>
    </w:p>
    <w:p w14:paraId="4CE3AAFC" w14:textId="77777777" w:rsidR="00F44FA5" w:rsidRDefault="00F44FA5" w:rsidP="001A2E50">
      <w:pPr>
        <w:spacing w:after="0" w:line="360" w:lineRule="auto"/>
        <w:jc w:val="both"/>
        <w:rPr>
          <w:rFonts w:ascii="Arial" w:hAnsi="Arial" w:cs="Arial"/>
          <w:b/>
          <w:sz w:val="28"/>
          <w:szCs w:val="28"/>
        </w:rPr>
      </w:pPr>
    </w:p>
    <w:p w14:paraId="0D8CDDF8" w14:textId="458B990B" w:rsidR="00A41465" w:rsidRDefault="00A41465" w:rsidP="009E30F4">
      <w:pPr>
        <w:spacing w:after="0" w:line="360" w:lineRule="auto"/>
        <w:jc w:val="both"/>
        <w:rPr>
          <w:rFonts w:ascii="Arial" w:hAnsi="Arial" w:cs="Arial"/>
          <w:sz w:val="28"/>
          <w:szCs w:val="28"/>
        </w:rPr>
      </w:pPr>
      <w:r>
        <w:rPr>
          <w:rFonts w:ascii="Arial" w:hAnsi="Arial" w:cs="Arial"/>
          <w:sz w:val="28"/>
          <w:szCs w:val="28"/>
        </w:rPr>
        <w:t>La Defensoría del Pueblo considera ajustad</w:t>
      </w:r>
      <w:r w:rsidR="00C43CD0">
        <w:rPr>
          <w:rFonts w:ascii="Arial" w:hAnsi="Arial" w:cs="Arial"/>
          <w:sz w:val="28"/>
          <w:szCs w:val="28"/>
        </w:rPr>
        <w:t>a a la Constitución</w:t>
      </w:r>
      <w:r>
        <w:rPr>
          <w:rFonts w:ascii="Arial" w:hAnsi="Arial" w:cs="Arial"/>
          <w:sz w:val="28"/>
          <w:szCs w:val="28"/>
        </w:rPr>
        <w:t xml:space="preserve"> la naturaleza jurídica de plebiscito formulada por el legislador estatutario para refrendar el Ac</w:t>
      </w:r>
      <w:r w:rsidR="00042226">
        <w:rPr>
          <w:rFonts w:ascii="Arial" w:hAnsi="Arial" w:cs="Arial"/>
          <w:sz w:val="28"/>
          <w:szCs w:val="28"/>
        </w:rPr>
        <w:t>uerdo Fina</w:t>
      </w:r>
      <w:r w:rsidR="0062214F">
        <w:rPr>
          <w:rFonts w:ascii="Arial" w:hAnsi="Arial" w:cs="Arial"/>
          <w:sz w:val="28"/>
          <w:szCs w:val="28"/>
        </w:rPr>
        <w:t>l.</w:t>
      </w:r>
    </w:p>
    <w:p w14:paraId="3846E9FE" w14:textId="77777777" w:rsidR="00042226" w:rsidRDefault="00042226" w:rsidP="009E30F4">
      <w:pPr>
        <w:spacing w:after="0" w:line="360" w:lineRule="auto"/>
        <w:jc w:val="both"/>
        <w:rPr>
          <w:rFonts w:ascii="Arial" w:hAnsi="Arial" w:cs="Arial"/>
          <w:sz w:val="28"/>
          <w:szCs w:val="28"/>
        </w:rPr>
      </w:pPr>
    </w:p>
    <w:p w14:paraId="467096F5" w14:textId="251B609B" w:rsidR="00042226" w:rsidRDefault="0062214F" w:rsidP="009E30F4">
      <w:pPr>
        <w:spacing w:after="0" w:line="360" w:lineRule="auto"/>
        <w:jc w:val="both"/>
        <w:rPr>
          <w:rFonts w:ascii="Arial" w:hAnsi="Arial" w:cs="Arial"/>
          <w:sz w:val="28"/>
          <w:szCs w:val="28"/>
        </w:rPr>
      </w:pPr>
      <w:r>
        <w:rPr>
          <w:rFonts w:ascii="Arial" w:hAnsi="Arial" w:cs="Arial"/>
          <w:sz w:val="28"/>
          <w:szCs w:val="28"/>
        </w:rPr>
        <w:t>Por un lado</w:t>
      </w:r>
      <w:r w:rsidR="00042226">
        <w:rPr>
          <w:rFonts w:ascii="Arial" w:hAnsi="Arial" w:cs="Arial"/>
          <w:sz w:val="28"/>
          <w:szCs w:val="28"/>
        </w:rPr>
        <w:t xml:space="preserve">, porque el Acuerdo Final guarda coherencia con el objeto del plebiscito. Este mecanismo de participación busca un pronunciamiento popular sobre </w:t>
      </w:r>
      <w:r w:rsidR="00C43CD0">
        <w:rPr>
          <w:rFonts w:ascii="Arial" w:hAnsi="Arial" w:cs="Arial"/>
          <w:sz w:val="28"/>
          <w:szCs w:val="28"/>
        </w:rPr>
        <w:t>“</w:t>
      </w:r>
      <w:r w:rsidR="00042226">
        <w:rPr>
          <w:rFonts w:ascii="Arial" w:hAnsi="Arial" w:cs="Arial"/>
          <w:sz w:val="28"/>
          <w:szCs w:val="28"/>
        </w:rPr>
        <w:t>políticas del Ejecutivo que no requieran aprobación del Congreso</w:t>
      </w:r>
      <w:r w:rsidR="00C43CD0">
        <w:rPr>
          <w:rFonts w:ascii="Arial" w:hAnsi="Arial" w:cs="Arial"/>
          <w:sz w:val="28"/>
          <w:szCs w:val="28"/>
        </w:rPr>
        <w:t>”</w:t>
      </w:r>
      <w:r w:rsidR="00042226">
        <w:rPr>
          <w:rFonts w:ascii="Arial" w:hAnsi="Arial" w:cs="Arial"/>
          <w:sz w:val="28"/>
          <w:szCs w:val="28"/>
        </w:rPr>
        <w:t xml:space="preserve"> conforme lo estipulado en la Ley 134 de 1994. Esto no quiere decir que una salida negociada al conflicto armado en Colombia se reduzca a ser una política más del Gobierno Nacional, pues no cabe duda que es un asunto de la mayor relevancia nacional y que desarrolla el derecho a la paz consagrado en el artículo 22 Superior. </w:t>
      </w:r>
      <w:r w:rsidR="00C43CD0">
        <w:rPr>
          <w:rFonts w:ascii="Arial" w:hAnsi="Arial" w:cs="Arial"/>
          <w:sz w:val="28"/>
          <w:szCs w:val="28"/>
        </w:rPr>
        <w:t xml:space="preserve">El logro de la paz, y en esto quiero ser claro, no </w:t>
      </w:r>
      <w:r w:rsidR="00AE61D2">
        <w:rPr>
          <w:rFonts w:ascii="Arial" w:hAnsi="Arial" w:cs="Arial"/>
          <w:sz w:val="28"/>
          <w:szCs w:val="28"/>
        </w:rPr>
        <w:t>depende de la</w:t>
      </w:r>
      <w:r w:rsidR="00C43CD0">
        <w:rPr>
          <w:rFonts w:ascii="Arial" w:hAnsi="Arial" w:cs="Arial"/>
          <w:sz w:val="28"/>
          <w:szCs w:val="28"/>
        </w:rPr>
        <w:t xml:space="preserve"> voluntad del gobierno sino </w:t>
      </w:r>
      <w:r w:rsidR="00AE61D2">
        <w:rPr>
          <w:rFonts w:ascii="Arial" w:hAnsi="Arial" w:cs="Arial"/>
          <w:sz w:val="28"/>
          <w:szCs w:val="28"/>
        </w:rPr>
        <w:t xml:space="preserve">que es </w:t>
      </w:r>
      <w:r w:rsidR="00C43CD0">
        <w:rPr>
          <w:rFonts w:ascii="Arial" w:hAnsi="Arial" w:cs="Arial"/>
          <w:sz w:val="28"/>
          <w:szCs w:val="28"/>
        </w:rPr>
        <w:t>un deber del Estado colombiano y un derecho ciudadano.</w:t>
      </w:r>
    </w:p>
    <w:p w14:paraId="2D0039AC" w14:textId="77777777" w:rsidR="00042226" w:rsidRDefault="00042226" w:rsidP="009E30F4">
      <w:pPr>
        <w:spacing w:after="0" w:line="360" w:lineRule="auto"/>
        <w:jc w:val="both"/>
        <w:rPr>
          <w:rFonts w:ascii="Arial" w:hAnsi="Arial" w:cs="Arial"/>
          <w:sz w:val="28"/>
          <w:szCs w:val="28"/>
        </w:rPr>
      </w:pPr>
    </w:p>
    <w:p w14:paraId="254FC958" w14:textId="7C003A8A" w:rsidR="005E1E2D" w:rsidRDefault="00042226" w:rsidP="009E30F4">
      <w:pPr>
        <w:spacing w:after="0" w:line="360" w:lineRule="auto"/>
        <w:jc w:val="both"/>
        <w:rPr>
          <w:rFonts w:ascii="Arial" w:hAnsi="Arial" w:cs="Arial"/>
          <w:sz w:val="28"/>
          <w:szCs w:val="28"/>
        </w:rPr>
      </w:pPr>
      <w:r>
        <w:rPr>
          <w:rFonts w:ascii="Arial" w:hAnsi="Arial" w:cs="Arial"/>
          <w:sz w:val="28"/>
          <w:szCs w:val="28"/>
        </w:rPr>
        <w:t xml:space="preserve">Sin embargo, conforme lo dispuso el legislador estatutario, lo que pretende el proyecto que hoy nos convoca no es preguntar a la ciudadanía </w:t>
      </w:r>
      <w:r w:rsidR="00EF5BE4">
        <w:rPr>
          <w:rFonts w:ascii="Arial" w:hAnsi="Arial" w:cs="Arial"/>
          <w:sz w:val="28"/>
          <w:szCs w:val="28"/>
        </w:rPr>
        <w:t xml:space="preserve">si está de acuerdo </w:t>
      </w:r>
      <w:r w:rsidR="00C43CD0">
        <w:rPr>
          <w:rFonts w:ascii="Arial" w:hAnsi="Arial" w:cs="Arial"/>
          <w:sz w:val="28"/>
          <w:szCs w:val="28"/>
        </w:rPr>
        <w:t xml:space="preserve">o no </w:t>
      </w:r>
      <w:r w:rsidR="00EF5BE4">
        <w:rPr>
          <w:rFonts w:ascii="Arial" w:hAnsi="Arial" w:cs="Arial"/>
          <w:sz w:val="28"/>
          <w:szCs w:val="28"/>
        </w:rPr>
        <w:t xml:space="preserve">con la finalidad de una salida negociada del conflicto armado sino más bien si está de acuerdo o no con el medio que se ha dispuesto para hacerlo. </w:t>
      </w:r>
      <w:r w:rsidR="00C43CD0">
        <w:rPr>
          <w:rFonts w:ascii="Arial" w:hAnsi="Arial" w:cs="Arial"/>
          <w:sz w:val="28"/>
          <w:szCs w:val="28"/>
        </w:rPr>
        <w:t xml:space="preserve">Si bien esa finalidad de paz es un asunto que nos compete a todas y todos, el medio para su obtención </w:t>
      </w:r>
      <w:r w:rsidR="0062214F">
        <w:rPr>
          <w:rFonts w:ascii="Arial" w:hAnsi="Arial" w:cs="Arial"/>
          <w:sz w:val="28"/>
          <w:szCs w:val="28"/>
        </w:rPr>
        <w:t xml:space="preserve">y </w:t>
      </w:r>
      <w:r w:rsidR="00C43CD0">
        <w:rPr>
          <w:rFonts w:ascii="Arial" w:hAnsi="Arial" w:cs="Arial"/>
          <w:sz w:val="28"/>
          <w:szCs w:val="28"/>
        </w:rPr>
        <w:t xml:space="preserve">que se conocerá como Acuerdo Final sí es una propuesta particular realizada por representantes del Gobierno en diálogo con representantes de la guerrilla de las FARC-EP. </w:t>
      </w:r>
    </w:p>
    <w:p w14:paraId="754CAE91" w14:textId="77777777" w:rsidR="005E1E2D" w:rsidRDefault="005E1E2D" w:rsidP="009E30F4">
      <w:pPr>
        <w:spacing w:after="0" w:line="360" w:lineRule="auto"/>
        <w:jc w:val="both"/>
        <w:rPr>
          <w:rFonts w:ascii="Arial" w:hAnsi="Arial" w:cs="Arial"/>
          <w:sz w:val="28"/>
          <w:szCs w:val="28"/>
        </w:rPr>
      </w:pPr>
    </w:p>
    <w:p w14:paraId="6A3511C4" w14:textId="25BFAD1D" w:rsidR="00042226" w:rsidRDefault="00C43CD0" w:rsidP="009E30F4">
      <w:pPr>
        <w:spacing w:after="0" w:line="360" w:lineRule="auto"/>
        <w:jc w:val="both"/>
        <w:rPr>
          <w:rFonts w:ascii="Arial" w:hAnsi="Arial" w:cs="Arial"/>
          <w:sz w:val="28"/>
          <w:szCs w:val="28"/>
        </w:rPr>
      </w:pPr>
      <w:r>
        <w:rPr>
          <w:rFonts w:ascii="Arial" w:hAnsi="Arial" w:cs="Arial"/>
          <w:sz w:val="28"/>
          <w:szCs w:val="28"/>
        </w:rPr>
        <w:t xml:space="preserve">Los contenidos de ese Acuerdo Final son el producto de lineamientos formulados desde el Gobierno Nacional para guiar las conversaciones en La Habana, y es sobre estos contenidos que la ciudadanía se va a pronunciar. Si bien no es propiamente una política pública del Ejecutivo como cualquier otra, sí son materias producto de </w:t>
      </w:r>
      <w:r w:rsidR="0062214F">
        <w:rPr>
          <w:rFonts w:ascii="Arial" w:hAnsi="Arial" w:cs="Arial"/>
          <w:sz w:val="28"/>
          <w:szCs w:val="28"/>
        </w:rPr>
        <w:t>directrices</w:t>
      </w:r>
      <w:r>
        <w:rPr>
          <w:rFonts w:ascii="Arial" w:hAnsi="Arial" w:cs="Arial"/>
          <w:sz w:val="28"/>
          <w:szCs w:val="28"/>
        </w:rPr>
        <w:t xml:space="preserve"> de Gobierno que al ser negociad</w:t>
      </w:r>
      <w:r w:rsidR="0062214F">
        <w:rPr>
          <w:rFonts w:ascii="Arial" w:hAnsi="Arial" w:cs="Arial"/>
          <w:sz w:val="28"/>
          <w:szCs w:val="28"/>
        </w:rPr>
        <w:t>a</w:t>
      </w:r>
      <w:r>
        <w:rPr>
          <w:rFonts w:ascii="Arial" w:hAnsi="Arial" w:cs="Arial"/>
          <w:sz w:val="28"/>
          <w:szCs w:val="28"/>
        </w:rPr>
        <w:t xml:space="preserve">s con la guerrilla darán como resultado el mencionado Acuerdo Final. Por esta razón, en criterio de la Defensoría, </w:t>
      </w:r>
      <w:r w:rsidR="005E1E2D">
        <w:rPr>
          <w:rFonts w:ascii="Arial" w:hAnsi="Arial" w:cs="Arial"/>
          <w:sz w:val="28"/>
          <w:szCs w:val="28"/>
        </w:rPr>
        <w:t>el objeto del plebiscito propuesto por el legislador estatutario guarda coherencia suficiente con la ley de mecanismos de participación ciudadana y por eso resulta constitucional.</w:t>
      </w:r>
    </w:p>
    <w:p w14:paraId="767AEB6C" w14:textId="77777777" w:rsidR="005E1E2D" w:rsidRDefault="005E1E2D" w:rsidP="009E30F4">
      <w:pPr>
        <w:spacing w:after="0" w:line="360" w:lineRule="auto"/>
        <w:jc w:val="both"/>
        <w:rPr>
          <w:rFonts w:ascii="Arial" w:hAnsi="Arial" w:cs="Arial"/>
          <w:sz w:val="28"/>
          <w:szCs w:val="28"/>
        </w:rPr>
      </w:pPr>
    </w:p>
    <w:p w14:paraId="332C24A5" w14:textId="77777777" w:rsidR="00121C8E" w:rsidRPr="0018332B" w:rsidRDefault="0062214F" w:rsidP="009E30F4">
      <w:pPr>
        <w:spacing w:after="0" w:line="360" w:lineRule="auto"/>
        <w:jc w:val="both"/>
        <w:rPr>
          <w:rFonts w:ascii="Arial" w:hAnsi="Arial" w:cs="Arial"/>
          <w:sz w:val="28"/>
          <w:szCs w:val="28"/>
        </w:rPr>
      </w:pPr>
      <w:r>
        <w:rPr>
          <w:rFonts w:ascii="Arial" w:hAnsi="Arial" w:cs="Arial"/>
          <w:sz w:val="28"/>
          <w:szCs w:val="28"/>
        </w:rPr>
        <w:t xml:space="preserve">Y por otro lado, </w:t>
      </w:r>
      <w:r w:rsidRPr="0018332B">
        <w:rPr>
          <w:rFonts w:ascii="Arial" w:hAnsi="Arial" w:cs="Arial"/>
          <w:sz w:val="28"/>
          <w:szCs w:val="28"/>
        </w:rPr>
        <w:t xml:space="preserve">porque </w:t>
      </w:r>
      <w:r w:rsidR="00121C8E" w:rsidRPr="0018332B">
        <w:rPr>
          <w:rFonts w:ascii="Arial" w:hAnsi="Arial" w:cs="Arial"/>
          <w:sz w:val="28"/>
          <w:szCs w:val="28"/>
        </w:rPr>
        <w:t>el mecanismo de plebiscito asegura un debate democrático abultado sobre el Acuerdo Final y permitirá reflejar la opinión ciudadana sobre su contenido. El hecho que la pregunta a realizar a la ciudadanía sea de respuesta SI o NO, no resta de ninguna manera legitimidad democrática ni reduce el escenario de participación de las y los colombianos.</w:t>
      </w:r>
    </w:p>
    <w:p w14:paraId="2B63DAE4" w14:textId="77777777" w:rsidR="00121C8E" w:rsidRPr="0018332B" w:rsidRDefault="00121C8E" w:rsidP="009E30F4">
      <w:pPr>
        <w:spacing w:after="0" w:line="360" w:lineRule="auto"/>
        <w:jc w:val="both"/>
        <w:rPr>
          <w:rFonts w:ascii="Arial" w:hAnsi="Arial" w:cs="Arial"/>
          <w:sz w:val="28"/>
          <w:szCs w:val="28"/>
        </w:rPr>
      </w:pPr>
    </w:p>
    <w:p w14:paraId="288FE255" w14:textId="68E674A0" w:rsidR="0018332B" w:rsidRDefault="0018332B" w:rsidP="0018332B">
      <w:pPr>
        <w:spacing w:after="0" w:line="360" w:lineRule="auto"/>
        <w:jc w:val="both"/>
        <w:rPr>
          <w:rFonts w:ascii="Arial" w:hAnsi="Arial" w:cs="Arial"/>
          <w:sz w:val="28"/>
          <w:szCs w:val="28"/>
          <w:shd w:val="clear" w:color="auto" w:fill="FFFFFF"/>
        </w:rPr>
      </w:pPr>
      <w:r w:rsidRPr="0018332B">
        <w:rPr>
          <w:rFonts w:ascii="Arial" w:hAnsi="Arial" w:cs="Arial"/>
          <w:sz w:val="28"/>
          <w:szCs w:val="28"/>
        </w:rPr>
        <w:t>La Corte Constitucional en sentencia C-150 de 2015 dijo: “</w:t>
      </w:r>
      <w:r w:rsidRPr="0018332B">
        <w:rPr>
          <w:rFonts w:ascii="Arial" w:hAnsi="Arial" w:cs="Arial"/>
          <w:sz w:val="28"/>
          <w:szCs w:val="28"/>
          <w:shd w:val="clear" w:color="auto" w:fill="FFFFFF"/>
        </w:rPr>
        <w:t>sí constituye una infracción de la libertad del elector el sometimiento de preguntas complejas cuando no se pretende la aprobación de un sistema normativo</w:t>
      </w:r>
      <w:r>
        <w:rPr>
          <w:rFonts w:ascii="Arial" w:hAnsi="Arial" w:cs="Arial"/>
          <w:sz w:val="28"/>
          <w:szCs w:val="28"/>
          <w:shd w:val="clear" w:color="auto" w:fill="FFFFFF"/>
        </w:rPr>
        <w:t xml:space="preserve">”. En dicho fallo, la Corte reiteró una regla jurisprudencial sobre el mecanismo de referendo que admite la constitucionalidad de preguntas complejas únicamente cuando se busca incorporar un sistema normativo determinado al ordenamiento jurídico. </w:t>
      </w:r>
    </w:p>
    <w:p w14:paraId="62D298E2" w14:textId="77777777" w:rsidR="0018332B" w:rsidRDefault="0018332B" w:rsidP="0018332B">
      <w:pPr>
        <w:spacing w:after="0" w:line="360" w:lineRule="auto"/>
        <w:jc w:val="both"/>
        <w:rPr>
          <w:rFonts w:ascii="Arial" w:hAnsi="Arial" w:cs="Arial"/>
          <w:sz w:val="28"/>
          <w:szCs w:val="28"/>
          <w:shd w:val="clear" w:color="auto" w:fill="FFFFFF"/>
        </w:rPr>
      </w:pPr>
    </w:p>
    <w:p w14:paraId="25245F1B" w14:textId="5EDBA725" w:rsidR="008658A5" w:rsidRDefault="0018332B" w:rsidP="00166254">
      <w:pPr>
        <w:spacing w:after="0" w:line="360" w:lineRule="auto"/>
        <w:jc w:val="both"/>
        <w:rPr>
          <w:rFonts w:ascii="Arial" w:hAnsi="Arial" w:cs="Arial"/>
          <w:sz w:val="28"/>
          <w:szCs w:val="28"/>
          <w:shd w:val="clear" w:color="auto" w:fill="FFFFFF"/>
        </w:rPr>
      </w:pPr>
      <w:r>
        <w:rPr>
          <w:rFonts w:ascii="Arial" w:hAnsi="Arial" w:cs="Arial"/>
          <w:sz w:val="28"/>
          <w:szCs w:val="28"/>
          <w:shd w:val="clear" w:color="auto" w:fill="FFFFFF"/>
        </w:rPr>
        <w:t>En criterio de la Defensoría, del proyecto de ley estatutaria objeto de revisión, no se desprende una voluntad del legislador dirigida a incorporar el contenido del Acuerdo Final al ordenamiento jurídico de manera automática tras una eventual votación positiva de la ciudadanía. Al contrario, actualmente cursa en el Congreso de la República un proyecto de acto legislativo que pretende crear mecanismos</w:t>
      </w:r>
      <w:r w:rsidR="00345C1C">
        <w:rPr>
          <w:rFonts w:ascii="Arial" w:hAnsi="Arial" w:cs="Arial"/>
          <w:sz w:val="28"/>
          <w:szCs w:val="28"/>
          <w:shd w:val="clear" w:color="auto" w:fill="FFFFFF"/>
        </w:rPr>
        <w:t xml:space="preserve"> especiales</w:t>
      </w:r>
      <w:r>
        <w:rPr>
          <w:rFonts w:ascii="Arial" w:hAnsi="Arial" w:cs="Arial"/>
          <w:sz w:val="28"/>
          <w:szCs w:val="28"/>
          <w:shd w:val="clear" w:color="auto" w:fill="FFFFFF"/>
        </w:rPr>
        <w:t xml:space="preserve"> para que sea el </w:t>
      </w:r>
      <w:r w:rsidR="00345C1C">
        <w:rPr>
          <w:rFonts w:ascii="Arial" w:hAnsi="Arial" w:cs="Arial"/>
          <w:sz w:val="28"/>
          <w:szCs w:val="28"/>
          <w:shd w:val="clear" w:color="auto" w:fill="FFFFFF"/>
        </w:rPr>
        <w:t xml:space="preserve">propio </w:t>
      </w:r>
      <w:r>
        <w:rPr>
          <w:rFonts w:ascii="Arial" w:hAnsi="Arial" w:cs="Arial"/>
          <w:sz w:val="28"/>
          <w:szCs w:val="28"/>
          <w:shd w:val="clear" w:color="auto" w:fill="FFFFFF"/>
        </w:rPr>
        <w:t xml:space="preserve">Congreso </w:t>
      </w:r>
      <w:r w:rsidR="00345C1C">
        <w:rPr>
          <w:rFonts w:ascii="Arial" w:hAnsi="Arial" w:cs="Arial"/>
          <w:sz w:val="28"/>
          <w:szCs w:val="28"/>
          <w:shd w:val="clear" w:color="auto" w:fill="FFFFFF"/>
        </w:rPr>
        <w:t xml:space="preserve">quien tramite democráticamente las leyes necesarias para la implementación de dicho acuerdo. </w:t>
      </w:r>
      <w:r w:rsidR="00166254">
        <w:rPr>
          <w:rFonts w:ascii="Arial" w:hAnsi="Arial" w:cs="Arial"/>
          <w:sz w:val="28"/>
          <w:szCs w:val="28"/>
          <w:shd w:val="clear" w:color="auto" w:fill="FFFFFF"/>
        </w:rPr>
        <w:t xml:space="preserve">De esta manera, </w:t>
      </w:r>
      <w:r w:rsidR="008658A5">
        <w:rPr>
          <w:rFonts w:ascii="Arial" w:hAnsi="Arial" w:cs="Arial"/>
          <w:sz w:val="28"/>
          <w:szCs w:val="28"/>
          <w:shd w:val="clear" w:color="auto" w:fill="FFFFFF"/>
        </w:rPr>
        <w:t xml:space="preserve">el legislador estatutario </w:t>
      </w:r>
      <w:r w:rsidR="00166254">
        <w:rPr>
          <w:rFonts w:ascii="Arial" w:hAnsi="Arial" w:cs="Arial"/>
          <w:sz w:val="28"/>
          <w:szCs w:val="28"/>
          <w:shd w:val="clear" w:color="auto" w:fill="FFFFFF"/>
        </w:rPr>
        <w:t xml:space="preserve">no busca trasladar la complejidad de la implementación del Acuerdo Final al pueblo, sino conocer si </w:t>
      </w:r>
      <w:r w:rsidR="008658A5">
        <w:rPr>
          <w:rFonts w:ascii="Arial" w:hAnsi="Arial" w:cs="Arial"/>
          <w:sz w:val="28"/>
          <w:szCs w:val="28"/>
          <w:shd w:val="clear" w:color="auto" w:fill="FFFFFF"/>
        </w:rPr>
        <w:t xml:space="preserve">este </w:t>
      </w:r>
      <w:r w:rsidR="00166254">
        <w:rPr>
          <w:rFonts w:ascii="Arial" w:hAnsi="Arial" w:cs="Arial"/>
          <w:sz w:val="28"/>
          <w:szCs w:val="28"/>
          <w:shd w:val="clear" w:color="auto" w:fill="FFFFFF"/>
        </w:rPr>
        <w:t xml:space="preserve">está de acuerdo o no con que el Congreso de la República asuma esa tarea. </w:t>
      </w:r>
      <w:r w:rsidR="00863B83">
        <w:rPr>
          <w:rFonts w:ascii="Arial" w:hAnsi="Arial" w:cs="Arial"/>
          <w:sz w:val="28"/>
          <w:szCs w:val="28"/>
          <w:shd w:val="clear" w:color="auto" w:fill="FFFFFF"/>
        </w:rPr>
        <w:t xml:space="preserve">Esta pregunta </w:t>
      </w:r>
      <w:r w:rsidR="008658A5">
        <w:rPr>
          <w:rFonts w:ascii="Arial" w:hAnsi="Arial" w:cs="Arial"/>
          <w:sz w:val="28"/>
          <w:szCs w:val="28"/>
          <w:shd w:val="clear" w:color="auto" w:fill="FFFFFF"/>
        </w:rPr>
        <w:t xml:space="preserve">puede </w:t>
      </w:r>
      <w:r w:rsidR="00D55C24">
        <w:rPr>
          <w:rFonts w:ascii="Arial" w:hAnsi="Arial" w:cs="Arial"/>
          <w:sz w:val="28"/>
          <w:szCs w:val="28"/>
          <w:shd w:val="clear" w:color="auto" w:fill="FFFFFF"/>
        </w:rPr>
        <w:t>realizarse mediante ple</w:t>
      </w:r>
      <w:r w:rsidR="00E95CA9">
        <w:rPr>
          <w:rFonts w:ascii="Arial" w:hAnsi="Arial" w:cs="Arial"/>
          <w:sz w:val="28"/>
          <w:szCs w:val="28"/>
          <w:shd w:val="clear" w:color="auto" w:fill="FFFFFF"/>
        </w:rPr>
        <w:t xml:space="preserve">biscito </w:t>
      </w:r>
      <w:r w:rsidR="00D55C24">
        <w:rPr>
          <w:rFonts w:ascii="Arial" w:hAnsi="Arial" w:cs="Arial"/>
          <w:sz w:val="28"/>
          <w:szCs w:val="28"/>
          <w:shd w:val="clear" w:color="auto" w:fill="FFFFFF"/>
        </w:rPr>
        <w:t xml:space="preserve">sin necesidad de acudir al referendo, </w:t>
      </w:r>
      <w:r w:rsidR="00E95CA9">
        <w:rPr>
          <w:rFonts w:ascii="Arial" w:hAnsi="Arial" w:cs="Arial"/>
          <w:sz w:val="28"/>
          <w:szCs w:val="28"/>
          <w:shd w:val="clear" w:color="auto" w:fill="FFFFFF"/>
        </w:rPr>
        <w:t xml:space="preserve">sin que esto configure por sí mismo un </w:t>
      </w:r>
      <w:r w:rsidR="00863B83">
        <w:rPr>
          <w:rFonts w:ascii="Arial" w:hAnsi="Arial" w:cs="Arial"/>
          <w:sz w:val="28"/>
          <w:szCs w:val="28"/>
          <w:shd w:val="clear" w:color="auto" w:fill="FFFFFF"/>
        </w:rPr>
        <w:t>obstáculo para la discusión democrática.</w:t>
      </w:r>
    </w:p>
    <w:p w14:paraId="25DA88CB" w14:textId="77777777" w:rsidR="008658A5" w:rsidRDefault="008658A5" w:rsidP="00166254">
      <w:pPr>
        <w:spacing w:after="0" w:line="360" w:lineRule="auto"/>
        <w:jc w:val="both"/>
        <w:rPr>
          <w:rFonts w:ascii="Arial" w:hAnsi="Arial" w:cs="Arial"/>
          <w:sz w:val="28"/>
          <w:szCs w:val="28"/>
          <w:shd w:val="clear" w:color="auto" w:fill="FFFFFF"/>
        </w:rPr>
      </w:pPr>
    </w:p>
    <w:p w14:paraId="63883DE2" w14:textId="7116E64E" w:rsidR="005E1E2D" w:rsidRPr="008658A5" w:rsidRDefault="008658A5" w:rsidP="00166254">
      <w:pPr>
        <w:spacing w:after="0" w:line="360" w:lineRule="auto"/>
        <w:jc w:val="both"/>
        <w:rPr>
          <w:rFonts w:ascii="Arial" w:hAnsi="Arial" w:cs="Arial"/>
          <w:sz w:val="28"/>
          <w:szCs w:val="28"/>
          <w:shd w:val="clear" w:color="auto" w:fill="FFFFFF"/>
        </w:rPr>
      </w:pPr>
      <w:r>
        <w:rPr>
          <w:rFonts w:ascii="Arial" w:hAnsi="Arial" w:cs="Arial"/>
          <w:sz w:val="28"/>
          <w:szCs w:val="28"/>
          <w:shd w:val="clear" w:color="auto" w:fill="FFFFFF"/>
        </w:rPr>
        <w:t xml:space="preserve">Adicionalmente, </w:t>
      </w:r>
      <w:r w:rsidR="00166254">
        <w:rPr>
          <w:rFonts w:ascii="Arial" w:hAnsi="Arial" w:cs="Arial"/>
          <w:sz w:val="28"/>
          <w:szCs w:val="28"/>
          <w:shd w:val="clear" w:color="auto" w:fill="FFFFFF"/>
        </w:rPr>
        <w:t xml:space="preserve"> </w:t>
      </w:r>
      <w:r w:rsidR="00863B83">
        <w:rPr>
          <w:rFonts w:ascii="Arial" w:hAnsi="Arial" w:cs="Arial"/>
          <w:sz w:val="28"/>
          <w:szCs w:val="28"/>
          <w:shd w:val="clear" w:color="auto" w:fill="FFFFFF"/>
        </w:rPr>
        <w:t xml:space="preserve">la Defensoría del Pueblo resalta que en la definición de la naturaleza del mecanismo de refrendación del Acuerdo Final debe respetarse el margen de apreciación del legislador estatutario. </w:t>
      </w:r>
      <w:r w:rsidR="00D87C34">
        <w:rPr>
          <w:rFonts w:ascii="Arial" w:hAnsi="Arial" w:cs="Arial"/>
          <w:sz w:val="28"/>
          <w:szCs w:val="28"/>
          <w:shd w:val="clear" w:color="auto" w:fill="FFFFFF"/>
        </w:rPr>
        <w:t xml:space="preserve">Sobre todo si se tiene en cuenta que el listado de mecanismos de participación ciudadana contenidos en la Constitución no es </w:t>
      </w:r>
      <w:r w:rsidR="00AE61D2">
        <w:rPr>
          <w:rFonts w:ascii="Arial" w:hAnsi="Arial" w:cs="Arial"/>
          <w:sz w:val="28"/>
          <w:szCs w:val="28"/>
          <w:shd w:val="clear" w:color="auto" w:fill="FFFFFF"/>
        </w:rPr>
        <w:t>taxativo</w:t>
      </w:r>
      <w:r w:rsidR="00D87C34">
        <w:rPr>
          <w:rFonts w:ascii="Arial" w:hAnsi="Arial" w:cs="Arial"/>
          <w:sz w:val="28"/>
          <w:szCs w:val="28"/>
          <w:shd w:val="clear" w:color="auto" w:fill="FFFFFF"/>
        </w:rPr>
        <w:t xml:space="preserve">, </w:t>
      </w:r>
      <w:r w:rsidR="006D39A0">
        <w:rPr>
          <w:rFonts w:ascii="Arial" w:hAnsi="Arial" w:cs="Arial"/>
          <w:sz w:val="28"/>
          <w:szCs w:val="28"/>
          <w:shd w:val="clear" w:color="auto" w:fill="FFFFFF"/>
        </w:rPr>
        <w:t>que es el legislador estatutario el competente para reglamentarlos, y que se trata de refrendar democráticamente un asunto de gran relevancia nacional que no fue previsto de manera específica por el constituyente primario como lo es la superación del conflicto armado con la guerrilla de las FARC.</w:t>
      </w:r>
    </w:p>
    <w:p w14:paraId="5E199AE1" w14:textId="77777777" w:rsidR="00C10FDA" w:rsidRDefault="00C10FDA" w:rsidP="00A5593A">
      <w:pPr>
        <w:spacing w:after="0" w:line="360" w:lineRule="auto"/>
        <w:jc w:val="both"/>
        <w:rPr>
          <w:rFonts w:ascii="Arial" w:hAnsi="Arial" w:cs="Arial"/>
          <w:b/>
          <w:sz w:val="28"/>
          <w:szCs w:val="28"/>
        </w:rPr>
      </w:pPr>
    </w:p>
    <w:p w14:paraId="78D9EFAC" w14:textId="4D223880" w:rsidR="00A5593A" w:rsidRDefault="00A5593A" w:rsidP="00A5593A">
      <w:pPr>
        <w:spacing w:after="0" w:line="360" w:lineRule="auto"/>
        <w:jc w:val="both"/>
        <w:rPr>
          <w:rFonts w:ascii="Arial" w:hAnsi="Arial" w:cs="Arial"/>
          <w:b/>
          <w:sz w:val="28"/>
          <w:szCs w:val="28"/>
        </w:rPr>
      </w:pPr>
      <w:r>
        <w:rPr>
          <w:rFonts w:ascii="Arial" w:hAnsi="Arial" w:cs="Arial"/>
          <w:b/>
          <w:sz w:val="28"/>
          <w:szCs w:val="28"/>
        </w:rPr>
        <w:t xml:space="preserve">II.- </w:t>
      </w:r>
      <w:r w:rsidR="00C10FDA">
        <w:rPr>
          <w:rFonts w:ascii="Arial" w:hAnsi="Arial" w:cs="Arial"/>
          <w:b/>
          <w:sz w:val="28"/>
          <w:szCs w:val="28"/>
        </w:rPr>
        <w:t>Sobre la c</w:t>
      </w:r>
      <w:r>
        <w:rPr>
          <w:rFonts w:ascii="Arial" w:hAnsi="Arial" w:cs="Arial"/>
          <w:b/>
          <w:sz w:val="28"/>
          <w:szCs w:val="28"/>
        </w:rPr>
        <w:t>onstitucionalidad de un umbral de aprobación del 13% en el plebiscito de refrendación del Acuerdo Final.</w:t>
      </w:r>
    </w:p>
    <w:p w14:paraId="54251B9E" w14:textId="77777777" w:rsidR="00A5593A" w:rsidRDefault="00A5593A" w:rsidP="00A5593A">
      <w:pPr>
        <w:spacing w:after="0" w:line="360" w:lineRule="auto"/>
        <w:jc w:val="both"/>
        <w:rPr>
          <w:rFonts w:ascii="Arial" w:hAnsi="Arial" w:cs="Arial"/>
          <w:b/>
          <w:sz w:val="28"/>
          <w:szCs w:val="28"/>
        </w:rPr>
      </w:pPr>
    </w:p>
    <w:p w14:paraId="2A2FDB64" w14:textId="77777777" w:rsidR="0045273F" w:rsidRDefault="00C10FDA" w:rsidP="00A5593A">
      <w:pPr>
        <w:spacing w:after="0" w:line="360" w:lineRule="auto"/>
        <w:jc w:val="both"/>
        <w:rPr>
          <w:rFonts w:ascii="Arial" w:hAnsi="Arial" w:cs="Arial"/>
          <w:sz w:val="28"/>
          <w:szCs w:val="28"/>
        </w:rPr>
      </w:pPr>
      <w:r>
        <w:rPr>
          <w:rFonts w:ascii="Arial" w:hAnsi="Arial" w:cs="Arial"/>
          <w:sz w:val="28"/>
          <w:szCs w:val="28"/>
        </w:rPr>
        <w:t xml:space="preserve">La realidad electoral del país es clara. </w:t>
      </w:r>
      <w:r w:rsidR="00E95CA9">
        <w:rPr>
          <w:rFonts w:ascii="Arial" w:hAnsi="Arial" w:cs="Arial"/>
          <w:sz w:val="28"/>
          <w:szCs w:val="28"/>
        </w:rPr>
        <w:t xml:space="preserve">Según la Registraduría, el promedio de participación electoral en las elecciones presidenciales realizadas entre 1978 </w:t>
      </w:r>
      <w:r w:rsidR="009910E8">
        <w:rPr>
          <w:rFonts w:ascii="Arial" w:hAnsi="Arial" w:cs="Arial"/>
          <w:sz w:val="28"/>
          <w:szCs w:val="28"/>
        </w:rPr>
        <w:t>y 2010 fue</w:t>
      </w:r>
      <w:r w:rsidR="00E95CA9">
        <w:rPr>
          <w:rFonts w:ascii="Arial" w:hAnsi="Arial" w:cs="Arial"/>
          <w:sz w:val="28"/>
          <w:szCs w:val="28"/>
        </w:rPr>
        <w:t xml:space="preserve"> del 45.99%, mientras que en las elecciones de Congreso </w:t>
      </w:r>
      <w:r w:rsidR="009910E8">
        <w:rPr>
          <w:rFonts w:ascii="Arial" w:hAnsi="Arial" w:cs="Arial"/>
          <w:sz w:val="28"/>
          <w:szCs w:val="28"/>
        </w:rPr>
        <w:t>en el mismo lapso es de 42.30%. Esta preocupante cifra que revela que más de la mitad de ciudadanos habilitados para votar no acuden a las urnas se confirma en las elecciones presidenciales y de Congreso en 2014 que alcanzaron niveles de abstención cercanos al 60%.</w:t>
      </w:r>
      <w:r w:rsidR="0045273F">
        <w:rPr>
          <w:rFonts w:ascii="Arial" w:hAnsi="Arial" w:cs="Arial"/>
          <w:sz w:val="28"/>
          <w:szCs w:val="28"/>
        </w:rPr>
        <w:t xml:space="preserve"> Se trata de</w:t>
      </w:r>
      <w:r w:rsidR="00664245">
        <w:rPr>
          <w:rFonts w:ascii="Arial" w:hAnsi="Arial" w:cs="Arial"/>
          <w:sz w:val="28"/>
          <w:szCs w:val="28"/>
        </w:rPr>
        <w:t xml:space="preserve"> un problema estructural que el Estado colombiano se encuentra en deuda de asumir seriamente para darle soluci</w:t>
      </w:r>
      <w:r w:rsidR="0045273F">
        <w:rPr>
          <w:rFonts w:ascii="Arial" w:hAnsi="Arial" w:cs="Arial"/>
          <w:sz w:val="28"/>
          <w:szCs w:val="28"/>
        </w:rPr>
        <w:t>ón y en el que confluyen b</w:t>
      </w:r>
      <w:r w:rsidR="00664245">
        <w:rPr>
          <w:rFonts w:ascii="Arial" w:hAnsi="Arial" w:cs="Arial"/>
          <w:sz w:val="28"/>
          <w:szCs w:val="28"/>
        </w:rPr>
        <w:t>arreras culturales, m</w:t>
      </w:r>
      <w:r w:rsidR="0045273F">
        <w:rPr>
          <w:rFonts w:ascii="Arial" w:hAnsi="Arial" w:cs="Arial"/>
          <w:sz w:val="28"/>
          <w:szCs w:val="28"/>
        </w:rPr>
        <w:t>ateriales e institucionales.</w:t>
      </w:r>
    </w:p>
    <w:p w14:paraId="6C9B124B" w14:textId="77777777" w:rsidR="0045273F" w:rsidRDefault="0045273F" w:rsidP="00A5593A">
      <w:pPr>
        <w:spacing w:after="0" w:line="360" w:lineRule="auto"/>
        <w:jc w:val="both"/>
        <w:rPr>
          <w:rFonts w:ascii="Arial" w:hAnsi="Arial" w:cs="Arial"/>
          <w:sz w:val="28"/>
          <w:szCs w:val="28"/>
        </w:rPr>
      </w:pPr>
    </w:p>
    <w:p w14:paraId="34DE67D5" w14:textId="62887EC0" w:rsidR="00C10FDA" w:rsidRDefault="0045273F" w:rsidP="00A5593A">
      <w:pPr>
        <w:spacing w:after="0" w:line="360" w:lineRule="auto"/>
        <w:jc w:val="both"/>
        <w:rPr>
          <w:rFonts w:ascii="Arial" w:hAnsi="Arial" w:cs="Arial"/>
          <w:sz w:val="28"/>
          <w:szCs w:val="28"/>
        </w:rPr>
      </w:pPr>
      <w:r>
        <w:rPr>
          <w:rFonts w:ascii="Arial" w:hAnsi="Arial" w:cs="Arial"/>
          <w:sz w:val="28"/>
          <w:szCs w:val="28"/>
        </w:rPr>
        <w:t>La Corte Constitucional ha distinguido como “pasiva” la abstención que es producto de este problema estructural que no es deseable en ninguna democracia, de la abstención activa que es la que refleja una postura política legítima que se expresa de manera consciente al no acudir a las urnas. La primera hace parte de un problema que se debe superar</w:t>
      </w:r>
      <w:r w:rsidR="00E5003F">
        <w:rPr>
          <w:rFonts w:ascii="Arial" w:hAnsi="Arial" w:cs="Arial"/>
          <w:sz w:val="28"/>
          <w:szCs w:val="28"/>
        </w:rPr>
        <w:t xml:space="preserve"> y que es una amenaza misma a la democracia</w:t>
      </w:r>
      <w:r>
        <w:rPr>
          <w:rFonts w:ascii="Arial" w:hAnsi="Arial" w:cs="Arial"/>
          <w:sz w:val="28"/>
          <w:szCs w:val="28"/>
        </w:rPr>
        <w:t>, mientras que la segunda es una opción ciudadana protegida constitucionalmente.</w:t>
      </w:r>
    </w:p>
    <w:p w14:paraId="22BA77FA" w14:textId="77777777" w:rsidR="0045273F" w:rsidRDefault="0045273F" w:rsidP="00A5593A">
      <w:pPr>
        <w:spacing w:after="0" w:line="360" w:lineRule="auto"/>
        <w:jc w:val="both"/>
        <w:rPr>
          <w:rFonts w:ascii="Arial" w:hAnsi="Arial" w:cs="Arial"/>
          <w:sz w:val="28"/>
          <w:szCs w:val="28"/>
        </w:rPr>
      </w:pPr>
    </w:p>
    <w:p w14:paraId="2A4AD2AF" w14:textId="721859D7" w:rsidR="0045273F" w:rsidRDefault="0045273F" w:rsidP="00A5593A">
      <w:pPr>
        <w:spacing w:after="0" w:line="360" w:lineRule="auto"/>
        <w:jc w:val="both"/>
        <w:rPr>
          <w:rFonts w:ascii="Arial" w:hAnsi="Arial" w:cs="Arial"/>
          <w:sz w:val="28"/>
          <w:szCs w:val="28"/>
        </w:rPr>
      </w:pPr>
      <w:r>
        <w:rPr>
          <w:rFonts w:ascii="Arial" w:hAnsi="Arial" w:cs="Arial"/>
          <w:sz w:val="28"/>
          <w:szCs w:val="28"/>
        </w:rPr>
        <w:t xml:space="preserve">Tiene entonces sentido que el legislador estatutario previera blindar el debate democrático de un asunto de relevancia nacional como lo es el Acuerdo Final, para evitar que el mismo fuera </w:t>
      </w:r>
      <w:r w:rsidR="00E5003F">
        <w:rPr>
          <w:rFonts w:ascii="Arial" w:hAnsi="Arial" w:cs="Arial"/>
          <w:sz w:val="28"/>
          <w:szCs w:val="28"/>
        </w:rPr>
        <w:t xml:space="preserve">rebatido por </w:t>
      </w:r>
      <w:r>
        <w:rPr>
          <w:rFonts w:ascii="Arial" w:hAnsi="Arial" w:cs="Arial"/>
          <w:sz w:val="28"/>
          <w:szCs w:val="28"/>
        </w:rPr>
        <w:t>una abstención pasiva que obedece a un problema estructura</w:t>
      </w:r>
      <w:r w:rsidR="00E5003F">
        <w:rPr>
          <w:rFonts w:ascii="Arial" w:hAnsi="Arial" w:cs="Arial"/>
          <w:sz w:val="28"/>
          <w:szCs w:val="28"/>
        </w:rPr>
        <w:t>l</w:t>
      </w:r>
      <w:r>
        <w:rPr>
          <w:rFonts w:ascii="Arial" w:hAnsi="Arial" w:cs="Arial"/>
          <w:sz w:val="28"/>
          <w:szCs w:val="28"/>
        </w:rPr>
        <w:t xml:space="preserve"> que no refleja ninguna postura ciudadana en favor o en contra de lo dialogado en La Habana. </w:t>
      </w:r>
      <w:r w:rsidR="00E5003F">
        <w:rPr>
          <w:rFonts w:ascii="Arial" w:hAnsi="Arial" w:cs="Arial"/>
          <w:sz w:val="28"/>
          <w:szCs w:val="28"/>
        </w:rPr>
        <w:t xml:space="preserve">La fórmula seleccionada para evitar ese impacto antidemocrático de la abstención pasiva fue modificar el umbral de participación </w:t>
      </w:r>
      <w:r w:rsidR="0023183C">
        <w:rPr>
          <w:rFonts w:ascii="Arial" w:hAnsi="Arial" w:cs="Arial"/>
          <w:sz w:val="28"/>
          <w:szCs w:val="28"/>
        </w:rPr>
        <w:t>superior al 50% del censo electoral por un umbral de aprobación del 13%.</w:t>
      </w:r>
    </w:p>
    <w:p w14:paraId="2B3B884A" w14:textId="77777777" w:rsidR="0023183C" w:rsidRDefault="0023183C" w:rsidP="00A5593A">
      <w:pPr>
        <w:spacing w:after="0" w:line="360" w:lineRule="auto"/>
        <w:jc w:val="both"/>
        <w:rPr>
          <w:rFonts w:ascii="Arial" w:hAnsi="Arial" w:cs="Arial"/>
          <w:sz w:val="28"/>
          <w:szCs w:val="28"/>
        </w:rPr>
      </w:pPr>
    </w:p>
    <w:p w14:paraId="2191EF6B" w14:textId="2B8E1BF6" w:rsidR="009626B6" w:rsidRDefault="0023183C" w:rsidP="00A5593A">
      <w:pPr>
        <w:spacing w:after="0" w:line="360" w:lineRule="auto"/>
        <w:jc w:val="both"/>
        <w:rPr>
          <w:rFonts w:ascii="Arial" w:hAnsi="Arial" w:cs="Arial"/>
          <w:sz w:val="28"/>
          <w:szCs w:val="28"/>
        </w:rPr>
      </w:pPr>
      <w:r>
        <w:rPr>
          <w:rFonts w:ascii="Arial" w:hAnsi="Arial" w:cs="Arial"/>
          <w:sz w:val="28"/>
          <w:szCs w:val="28"/>
        </w:rPr>
        <w:t xml:space="preserve">En criterio de la Defensoría del Pueblo, el nuevo umbral es constitucional no solo porque persigue una finalidad constitucional imperiosa como lo es evitar que la abstención pasiva afecte la manifestación real de la ciudadanía sobre el Acuerdo Final, sino también porque  la modificación del plebiscito dispuesta para el caso particular no desnaturaliza este mecanismo de participación ciudadana. </w:t>
      </w:r>
      <w:r w:rsidR="009626B6">
        <w:rPr>
          <w:rFonts w:ascii="Arial" w:hAnsi="Arial" w:cs="Arial"/>
          <w:sz w:val="28"/>
          <w:szCs w:val="28"/>
        </w:rPr>
        <w:t xml:space="preserve">Al contrario, obedece a criterios de razonabilidad que el porcentaje exigido en un umbral de aprobación (referente a mínimos de votos por el SI) sea ostensiblemente menor que un umbral de participación (que refiere a mínimos de votos por todas las opciones disponibles). </w:t>
      </w:r>
    </w:p>
    <w:p w14:paraId="544CF066" w14:textId="77777777" w:rsidR="009626B6" w:rsidRDefault="009626B6" w:rsidP="00A5593A">
      <w:pPr>
        <w:spacing w:after="0" w:line="360" w:lineRule="auto"/>
        <w:jc w:val="both"/>
        <w:rPr>
          <w:rFonts w:ascii="Arial" w:hAnsi="Arial" w:cs="Arial"/>
          <w:sz w:val="28"/>
          <w:szCs w:val="28"/>
        </w:rPr>
      </w:pPr>
    </w:p>
    <w:p w14:paraId="358BE721" w14:textId="77777777" w:rsidR="00377551" w:rsidRDefault="003262D7" w:rsidP="00A5593A">
      <w:pPr>
        <w:spacing w:after="0" w:line="360" w:lineRule="auto"/>
        <w:jc w:val="both"/>
        <w:rPr>
          <w:rFonts w:ascii="Arial" w:hAnsi="Arial" w:cs="Arial"/>
          <w:sz w:val="28"/>
          <w:szCs w:val="28"/>
        </w:rPr>
      </w:pPr>
      <w:r>
        <w:rPr>
          <w:rFonts w:ascii="Arial" w:hAnsi="Arial" w:cs="Arial"/>
          <w:sz w:val="28"/>
          <w:szCs w:val="28"/>
        </w:rPr>
        <w:t xml:space="preserve">Pero además, esa disminución en el porcentaje no significa solo un 13% de la ciudadanía podrá decidir el futuro de toda la sociedad colombiana respecto al Acuerdo Final. Esta argumentación desconoce no solo el problema estructural de abstención pasiva que pretende solucionar el cambio de umbral para este caso concreto, sino también que los umbrales de aprobación son por sí mismos un estímulo para la deliberación democrática. </w:t>
      </w:r>
    </w:p>
    <w:p w14:paraId="3FCD0FD9" w14:textId="77777777" w:rsidR="00377551" w:rsidRDefault="00377551" w:rsidP="00A5593A">
      <w:pPr>
        <w:spacing w:after="0" w:line="360" w:lineRule="auto"/>
        <w:jc w:val="both"/>
        <w:rPr>
          <w:rFonts w:ascii="Arial" w:hAnsi="Arial" w:cs="Arial"/>
          <w:sz w:val="28"/>
          <w:szCs w:val="28"/>
        </w:rPr>
      </w:pPr>
    </w:p>
    <w:p w14:paraId="05D38589" w14:textId="41AD45FD" w:rsidR="009626B6" w:rsidRDefault="003262D7" w:rsidP="00A5593A">
      <w:pPr>
        <w:spacing w:after="0" w:line="360" w:lineRule="auto"/>
        <w:jc w:val="both"/>
        <w:rPr>
          <w:rFonts w:ascii="Arial" w:hAnsi="Arial" w:cs="Arial"/>
          <w:sz w:val="28"/>
          <w:szCs w:val="28"/>
        </w:rPr>
      </w:pPr>
      <w:r>
        <w:rPr>
          <w:rFonts w:ascii="Arial" w:hAnsi="Arial" w:cs="Arial"/>
          <w:sz w:val="28"/>
          <w:szCs w:val="28"/>
        </w:rPr>
        <w:t xml:space="preserve">De esta manera, la campaña por el SI deberá dar razones fuertes para apoyar la implementación del Acuerdo Final y convencer a la ciudadanía que exprese dicho apoyo en las urnas; la campaña por el NO deberá argumentar si esas razones son insuficientes, y no podrá conformarse con decirle a la ciudadanía que mejor se quede en su casa el día de las elecciones, sino que tendrá la tarea de convencerla de expresar ese rechazo en las urnas; e incluso la abstención activa, esa protegida constitucionalmente, puede también ofrecer razones para que la ciudadanía manifieste su rechazo al SI y al NO </w:t>
      </w:r>
      <w:r w:rsidR="00377551">
        <w:rPr>
          <w:rFonts w:ascii="Arial" w:hAnsi="Arial" w:cs="Arial"/>
          <w:sz w:val="28"/>
          <w:szCs w:val="28"/>
        </w:rPr>
        <w:t>y proponga no acudir a la jornada de votación como opción legítima de expresión democrática. Es este el debate democrático que promueve el umbral de aprobación del 13% al dar la oportunidad a estas tres opciones legítimas de expresarse democráticamente sin temer a sucumbir ante el problema estructural electoral que padece Colombia conforme a las estadísticas de abstención. Es entonces</w:t>
      </w:r>
      <w:r w:rsidR="0000213C">
        <w:rPr>
          <w:rFonts w:ascii="Arial" w:hAnsi="Arial" w:cs="Arial"/>
          <w:sz w:val="28"/>
          <w:szCs w:val="28"/>
        </w:rPr>
        <w:t xml:space="preserve">, en concepto de la Defensoría, </w:t>
      </w:r>
      <w:r w:rsidR="00377551">
        <w:rPr>
          <w:rFonts w:ascii="Arial" w:hAnsi="Arial" w:cs="Arial"/>
          <w:sz w:val="28"/>
          <w:szCs w:val="28"/>
        </w:rPr>
        <w:t xml:space="preserve">una modificación constitucional. </w:t>
      </w:r>
    </w:p>
    <w:p w14:paraId="26AF681A" w14:textId="77777777" w:rsidR="009626B6" w:rsidRDefault="009626B6" w:rsidP="00A5593A">
      <w:pPr>
        <w:spacing w:after="0" w:line="360" w:lineRule="auto"/>
        <w:jc w:val="both"/>
        <w:rPr>
          <w:rFonts w:ascii="Arial" w:hAnsi="Arial" w:cs="Arial"/>
          <w:sz w:val="28"/>
          <w:szCs w:val="28"/>
        </w:rPr>
      </w:pPr>
    </w:p>
    <w:p w14:paraId="79743E36" w14:textId="165699C6" w:rsidR="004C38AD" w:rsidRDefault="001E1718" w:rsidP="00A5593A">
      <w:pPr>
        <w:spacing w:after="0" w:line="360" w:lineRule="auto"/>
        <w:jc w:val="both"/>
        <w:rPr>
          <w:rFonts w:ascii="Arial" w:hAnsi="Arial" w:cs="Arial"/>
          <w:b/>
          <w:sz w:val="28"/>
          <w:szCs w:val="28"/>
        </w:rPr>
      </w:pPr>
      <w:r>
        <w:rPr>
          <w:rFonts w:ascii="Arial" w:hAnsi="Arial" w:cs="Arial"/>
          <w:b/>
          <w:sz w:val="28"/>
          <w:szCs w:val="28"/>
        </w:rPr>
        <w:t xml:space="preserve">III.- Sobre el contenido y alcance del carácter vinculante de la decisión del Pueblo convocado mediante plebiscito. </w:t>
      </w:r>
    </w:p>
    <w:p w14:paraId="1355F96E" w14:textId="77777777" w:rsidR="001E1718" w:rsidRDefault="001E1718" w:rsidP="00A5593A">
      <w:pPr>
        <w:spacing w:after="0" w:line="360" w:lineRule="auto"/>
        <w:jc w:val="both"/>
        <w:rPr>
          <w:rFonts w:ascii="Arial" w:hAnsi="Arial" w:cs="Arial"/>
          <w:b/>
          <w:sz w:val="28"/>
          <w:szCs w:val="28"/>
        </w:rPr>
      </w:pPr>
    </w:p>
    <w:p w14:paraId="29F67382" w14:textId="502F3B3A" w:rsidR="008C051B" w:rsidRDefault="008C051B" w:rsidP="00A5593A">
      <w:pPr>
        <w:spacing w:after="0" w:line="360" w:lineRule="auto"/>
        <w:jc w:val="both"/>
        <w:rPr>
          <w:rFonts w:ascii="Arial" w:hAnsi="Arial" w:cs="Arial"/>
          <w:sz w:val="28"/>
          <w:szCs w:val="28"/>
        </w:rPr>
      </w:pPr>
      <w:r>
        <w:rPr>
          <w:rFonts w:ascii="Arial" w:hAnsi="Arial" w:cs="Arial"/>
          <w:sz w:val="28"/>
          <w:szCs w:val="28"/>
        </w:rPr>
        <w:t>Come mencioné al inicio de esta intervención, el Acuerdo Final requiere</w:t>
      </w:r>
      <w:r w:rsidR="00C45761">
        <w:rPr>
          <w:rFonts w:ascii="Arial" w:hAnsi="Arial" w:cs="Arial"/>
          <w:sz w:val="28"/>
          <w:szCs w:val="28"/>
        </w:rPr>
        <w:t xml:space="preserve"> equilibrar</w:t>
      </w:r>
      <w:r>
        <w:rPr>
          <w:rFonts w:ascii="Arial" w:hAnsi="Arial" w:cs="Arial"/>
          <w:sz w:val="28"/>
          <w:szCs w:val="28"/>
        </w:rPr>
        <w:t xml:space="preserve"> legitimidad política </w:t>
      </w:r>
      <w:r w:rsidR="00C45761">
        <w:rPr>
          <w:rFonts w:ascii="Arial" w:hAnsi="Arial" w:cs="Arial"/>
          <w:sz w:val="28"/>
          <w:szCs w:val="28"/>
        </w:rPr>
        <w:t>y</w:t>
      </w:r>
      <w:r>
        <w:rPr>
          <w:rFonts w:ascii="Arial" w:hAnsi="Arial" w:cs="Arial"/>
          <w:sz w:val="28"/>
          <w:szCs w:val="28"/>
        </w:rPr>
        <w:t xml:space="preserve"> seguridad jurídica. El carácter vinculante de la decisión del Pueblo convocado mediante plebiscito es el eje central de ese equilibrio, pues es el camino que conecta la expresión popular con la implementación jurídica de lo acordado en La Habana. As</w:t>
      </w:r>
      <w:r w:rsidR="00C0380D">
        <w:rPr>
          <w:rFonts w:ascii="Arial" w:hAnsi="Arial" w:cs="Arial"/>
          <w:sz w:val="28"/>
          <w:szCs w:val="28"/>
        </w:rPr>
        <w:t xml:space="preserve">í, </w:t>
      </w:r>
      <w:r>
        <w:rPr>
          <w:rFonts w:ascii="Arial" w:hAnsi="Arial" w:cs="Arial"/>
          <w:sz w:val="28"/>
          <w:szCs w:val="28"/>
        </w:rPr>
        <w:t>una refrendación popular generará la consecuencia de hacer cumplir lo acordado, de la misma manera que una decisión popular negativa impedirá que el mismo Acuerdo Final divulgado al pueblo sea implementado sin cambio alguno.</w:t>
      </w:r>
    </w:p>
    <w:p w14:paraId="40AA5B69" w14:textId="77777777" w:rsidR="008C051B" w:rsidRDefault="008C051B" w:rsidP="00A5593A">
      <w:pPr>
        <w:spacing w:after="0" w:line="360" w:lineRule="auto"/>
        <w:jc w:val="both"/>
        <w:rPr>
          <w:rFonts w:ascii="Arial" w:hAnsi="Arial" w:cs="Arial"/>
          <w:sz w:val="28"/>
          <w:szCs w:val="28"/>
        </w:rPr>
      </w:pPr>
    </w:p>
    <w:p w14:paraId="248EB31B" w14:textId="4E53AFF8" w:rsidR="008C051B" w:rsidRDefault="008C051B" w:rsidP="00A5593A">
      <w:pPr>
        <w:spacing w:after="0" w:line="360" w:lineRule="auto"/>
        <w:jc w:val="both"/>
        <w:rPr>
          <w:rFonts w:ascii="Arial" w:hAnsi="Arial" w:cs="Arial"/>
          <w:sz w:val="28"/>
          <w:szCs w:val="28"/>
        </w:rPr>
      </w:pPr>
      <w:r>
        <w:rPr>
          <w:rFonts w:ascii="Arial" w:hAnsi="Arial" w:cs="Arial"/>
          <w:sz w:val="28"/>
          <w:szCs w:val="28"/>
        </w:rPr>
        <w:t>Esto no significa que un derecho fundamental como lo es el derecho a la paz esté siendo sometido a decisi</w:t>
      </w:r>
      <w:r w:rsidR="00C0380D">
        <w:rPr>
          <w:rFonts w:ascii="Arial" w:hAnsi="Arial" w:cs="Arial"/>
          <w:sz w:val="28"/>
          <w:szCs w:val="28"/>
        </w:rPr>
        <w:t xml:space="preserve">ón popular. Insisto. Lo que se le preguntará al pueblo colombiano no es si está de acuerdo o no con la salida negociada del conflicto armado, pues la superación del mismo es un deber estatal y un derecho ciudadano. En su lugar, lo que será objeto de decisión popular es si refrenda o no los términos y contenidos del Acuerdo Final que permitirá que esa salida negociada del conflicto sea una realidad.  </w:t>
      </w:r>
    </w:p>
    <w:p w14:paraId="1EA07666" w14:textId="77777777" w:rsidR="008C051B" w:rsidRDefault="008C051B" w:rsidP="00A5593A">
      <w:pPr>
        <w:spacing w:after="0" w:line="360" w:lineRule="auto"/>
        <w:jc w:val="both"/>
        <w:rPr>
          <w:rFonts w:ascii="Arial" w:hAnsi="Arial" w:cs="Arial"/>
          <w:sz w:val="28"/>
          <w:szCs w:val="28"/>
        </w:rPr>
      </w:pPr>
    </w:p>
    <w:p w14:paraId="7BCBDF09" w14:textId="77777777" w:rsidR="008C051B" w:rsidRDefault="008C051B" w:rsidP="00A5593A">
      <w:pPr>
        <w:spacing w:after="0" w:line="360" w:lineRule="auto"/>
        <w:jc w:val="both"/>
        <w:rPr>
          <w:rFonts w:ascii="Arial" w:hAnsi="Arial" w:cs="Arial"/>
          <w:sz w:val="28"/>
          <w:szCs w:val="28"/>
        </w:rPr>
      </w:pPr>
    </w:p>
    <w:p w14:paraId="28BD25DB" w14:textId="77777777" w:rsidR="008C051B" w:rsidRDefault="008C051B" w:rsidP="00A5593A">
      <w:pPr>
        <w:spacing w:after="0" w:line="360" w:lineRule="auto"/>
        <w:jc w:val="both"/>
        <w:rPr>
          <w:rFonts w:ascii="Arial" w:hAnsi="Arial" w:cs="Arial"/>
          <w:sz w:val="28"/>
          <w:szCs w:val="28"/>
        </w:rPr>
      </w:pPr>
    </w:p>
    <w:p w14:paraId="6EBA0F2D" w14:textId="77777777" w:rsidR="008C051B" w:rsidRDefault="008C051B" w:rsidP="00A5593A">
      <w:pPr>
        <w:spacing w:after="0" w:line="360" w:lineRule="auto"/>
        <w:jc w:val="both"/>
        <w:rPr>
          <w:rFonts w:ascii="Arial" w:hAnsi="Arial" w:cs="Arial"/>
          <w:sz w:val="28"/>
          <w:szCs w:val="28"/>
        </w:rPr>
      </w:pPr>
    </w:p>
    <w:p w14:paraId="72E52017" w14:textId="77777777" w:rsidR="008C051B" w:rsidRDefault="008C051B" w:rsidP="00A5593A">
      <w:pPr>
        <w:spacing w:after="0" w:line="360" w:lineRule="auto"/>
        <w:jc w:val="both"/>
        <w:rPr>
          <w:rFonts w:ascii="Arial" w:hAnsi="Arial" w:cs="Arial"/>
          <w:sz w:val="28"/>
          <w:szCs w:val="28"/>
        </w:rPr>
      </w:pPr>
    </w:p>
    <w:p w14:paraId="23786484" w14:textId="3064666C" w:rsidR="00D5592C" w:rsidRDefault="001E1718" w:rsidP="00A5593A">
      <w:pPr>
        <w:spacing w:after="0" w:line="360" w:lineRule="auto"/>
        <w:jc w:val="both"/>
        <w:rPr>
          <w:rFonts w:ascii="Arial" w:hAnsi="Arial" w:cs="Arial"/>
          <w:sz w:val="28"/>
          <w:szCs w:val="28"/>
        </w:rPr>
      </w:pPr>
      <w:r>
        <w:rPr>
          <w:rFonts w:ascii="Arial" w:hAnsi="Arial" w:cs="Arial"/>
          <w:sz w:val="28"/>
          <w:szCs w:val="28"/>
        </w:rPr>
        <w:t xml:space="preserve">Como mencioné al inicio de esta intervención, el Acuerdo Final requiere de una legitimidad política irrefutable. </w:t>
      </w:r>
      <w:r w:rsidR="000D4ADB">
        <w:rPr>
          <w:rFonts w:ascii="Arial" w:hAnsi="Arial" w:cs="Arial"/>
          <w:sz w:val="28"/>
          <w:szCs w:val="28"/>
        </w:rPr>
        <w:t xml:space="preserve">Al decir ‘irrefutable’ significo no solo que la ciudadanía tenga la oportunidad de expresar su postura de manera clara, sino también que esa postura sea respetada por las autoridades estatales. </w:t>
      </w:r>
      <w:r w:rsidR="008C051B">
        <w:rPr>
          <w:rFonts w:ascii="Arial" w:hAnsi="Arial" w:cs="Arial"/>
          <w:sz w:val="28"/>
          <w:szCs w:val="28"/>
        </w:rPr>
        <w:t>Es por eso que el carácter vinculante de la decisión del Pueblo convocado mediante plebiscito resulta con</w:t>
      </w:r>
      <w:r w:rsidR="00B8333D">
        <w:rPr>
          <w:rFonts w:ascii="Arial" w:hAnsi="Arial" w:cs="Arial"/>
          <w:sz w:val="28"/>
          <w:szCs w:val="28"/>
        </w:rPr>
        <w:t>stitucional, pues es el puente</w:t>
      </w:r>
      <w:r w:rsidR="008C051B">
        <w:rPr>
          <w:rFonts w:ascii="Arial" w:hAnsi="Arial" w:cs="Arial"/>
          <w:sz w:val="28"/>
          <w:szCs w:val="28"/>
        </w:rPr>
        <w:t xml:space="preserve"> que conecta la legitimidad política con la seguridad jurídica del mismo. </w:t>
      </w:r>
      <w:r>
        <w:rPr>
          <w:rFonts w:ascii="Arial" w:hAnsi="Arial" w:cs="Arial"/>
          <w:sz w:val="28"/>
          <w:szCs w:val="28"/>
        </w:rPr>
        <w:t xml:space="preserve"> </w:t>
      </w:r>
    </w:p>
    <w:p w14:paraId="22C81B21" w14:textId="77777777" w:rsidR="00D5592C" w:rsidRDefault="00D5592C" w:rsidP="00A5593A">
      <w:pPr>
        <w:spacing w:after="0" w:line="360" w:lineRule="auto"/>
        <w:jc w:val="both"/>
        <w:rPr>
          <w:rFonts w:ascii="Arial" w:hAnsi="Arial" w:cs="Arial"/>
          <w:sz w:val="28"/>
          <w:szCs w:val="28"/>
        </w:rPr>
      </w:pPr>
    </w:p>
    <w:p w14:paraId="56E05F86" w14:textId="6734A5C0" w:rsidR="007261C3" w:rsidRDefault="00C0380D" w:rsidP="00A5593A">
      <w:pPr>
        <w:spacing w:after="0" w:line="360" w:lineRule="auto"/>
        <w:jc w:val="both"/>
        <w:rPr>
          <w:rFonts w:ascii="Arial" w:hAnsi="Arial" w:cs="Arial"/>
          <w:sz w:val="28"/>
          <w:szCs w:val="28"/>
        </w:rPr>
      </w:pPr>
      <w:r>
        <w:rPr>
          <w:rFonts w:ascii="Arial" w:hAnsi="Arial" w:cs="Arial"/>
          <w:sz w:val="28"/>
          <w:szCs w:val="28"/>
        </w:rPr>
        <w:t>De manera que incluso en el caso que el resultado del plebiscito favorezca la opción por el NO, esto no significaría que el Estado colombiano deber</w:t>
      </w:r>
      <w:r w:rsidR="007261C3">
        <w:rPr>
          <w:rFonts w:ascii="Arial" w:hAnsi="Arial" w:cs="Arial"/>
          <w:sz w:val="28"/>
          <w:szCs w:val="28"/>
        </w:rPr>
        <w:t>á retornar a</w:t>
      </w:r>
      <w:r>
        <w:rPr>
          <w:rFonts w:ascii="Arial" w:hAnsi="Arial" w:cs="Arial"/>
          <w:sz w:val="28"/>
          <w:szCs w:val="28"/>
        </w:rPr>
        <w:t xml:space="preserve"> la vía del combate armado que ya ha transitado durante m</w:t>
      </w:r>
      <w:r w:rsidR="00D5592C">
        <w:rPr>
          <w:rFonts w:ascii="Arial" w:hAnsi="Arial" w:cs="Arial"/>
          <w:sz w:val="28"/>
          <w:szCs w:val="28"/>
        </w:rPr>
        <w:t xml:space="preserve">ás de cincuenta años. </w:t>
      </w:r>
      <w:r w:rsidR="007261C3">
        <w:rPr>
          <w:rFonts w:ascii="Arial" w:hAnsi="Arial" w:cs="Arial"/>
          <w:sz w:val="28"/>
          <w:szCs w:val="28"/>
        </w:rPr>
        <w:t>Si así fuera se estaría dando una</w:t>
      </w:r>
      <w:r w:rsidR="00D5592C">
        <w:rPr>
          <w:rFonts w:ascii="Arial" w:hAnsi="Arial" w:cs="Arial"/>
          <w:sz w:val="28"/>
          <w:szCs w:val="28"/>
        </w:rPr>
        <w:t xml:space="preserve"> prevalencia jurídica al derecho de participación ciudadana</w:t>
      </w:r>
      <w:r w:rsidR="007261C3">
        <w:rPr>
          <w:rFonts w:ascii="Arial" w:hAnsi="Arial" w:cs="Arial"/>
          <w:sz w:val="28"/>
          <w:szCs w:val="28"/>
        </w:rPr>
        <w:t xml:space="preserve"> de tal magnitud</w:t>
      </w:r>
      <w:r w:rsidR="00D5592C">
        <w:rPr>
          <w:rFonts w:ascii="Arial" w:hAnsi="Arial" w:cs="Arial"/>
          <w:sz w:val="28"/>
          <w:szCs w:val="28"/>
        </w:rPr>
        <w:t xml:space="preserve"> que anularía </w:t>
      </w:r>
      <w:r w:rsidR="00B51887">
        <w:rPr>
          <w:rFonts w:ascii="Arial" w:hAnsi="Arial" w:cs="Arial"/>
          <w:sz w:val="28"/>
          <w:szCs w:val="28"/>
        </w:rPr>
        <w:t>el núcleo básico del derecho fundamental a la paz</w:t>
      </w:r>
      <w:r w:rsidR="007261C3">
        <w:rPr>
          <w:rFonts w:ascii="Arial" w:hAnsi="Arial" w:cs="Arial"/>
          <w:sz w:val="28"/>
          <w:szCs w:val="28"/>
        </w:rPr>
        <w:t>,</w:t>
      </w:r>
      <w:r w:rsidR="00B51887">
        <w:rPr>
          <w:rFonts w:ascii="Arial" w:hAnsi="Arial" w:cs="Arial"/>
          <w:sz w:val="28"/>
          <w:szCs w:val="28"/>
        </w:rPr>
        <w:t xml:space="preserve"> y que a todas luces resultaría inconstitucional. En su lugar, una decisión plebiscitaria negativa</w:t>
      </w:r>
      <w:r w:rsidR="007261C3">
        <w:rPr>
          <w:rFonts w:ascii="Arial" w:hAnsi="Arial" w:cs="Arial"/>
          <w:sz w:val="28"/>
          <w:szCs w:val="28"/>
        </w:rPr>
        <w:t xml:space="preserve"> únicamente afectaría la viabilidad jurídica de la propuesta de Acuerdo Final que presente el Gobierno Nacional, sin que esto impida una reformulación del mismo que eventualmente resulte en una exitosa refrendación popular. </w:t>
      </w:r>
    </w:p>
    <w:p w14:paraId="79FCF1C0" w14:textId="77777777" w:rsidR="000D4ADB" w:rsidRDefault="000D4ADB" w:rsidP="00A5593A">
      <w:pPr>
        <w:spacing w:after="0" w:line="360" w:lineRule="auto"/>
        <w:jc w:val="both"/>
        <w:rPr>
          <w:rFonts w:ascii="Arial" w:hAnsi="Arial" w:cs="Arial"/>
          <w:sz w:val="28"/>
          <w:szCs w:val="28"/>
        </w:rPr>
      </w:pPr>
    </w:p>
    <w:p w14:paraId="69C7B6A6" w14:textId="61450CF7" w:rsidR="007261C3" w:rsidRDefault="007261C3" w:rsidP="00A5593A">
      <w:pPr>
        <w:spacing w:after="0" w:line="360" w:lineRule="auto"/>
        <w:jc w:val="both"/>
        <w:rPr>
          <w:rFonts w:ascii="Arial" w:hAnsi="Arial" w:cs="Arial"/>
          <w:sz w:val="28"/>
          <w:szCs w:val="28"/>
        </w:rPr>
      </w:pPr>
      <w:r>
        <w:rPr>
          <w:rFonts w:ascii="Arial" w:hAnsi="Arial" w:cs="Arial"/>
          <w:sz w:val="28"/>
          <w:szCs w:val="28"/>
        </w:rPr>
        <w:t xml:space="preserve">Si bien podría argumentarse que el Acuerdo Final tiene un contenido que está cobijado por la fórmula del “acuerdo especial” propia del Derecho Internacional Humanitario </w:t>
      </w:r>
      <w:r w:rsidR="00B85654">
        <w:rPr>
          <w:rFonts w:ascii="Arial" w:hAnsi="Arial" w:cs="Arial"/>
          <w:sz w:val="28"/>
          <w:szCs w:val="28"/>
        </w:rPr>
        <w:t>en virtud del artículo 3 común de los Convenios de Ginebra y que ninguna decisión popular podría desvirtuar su carácter jurídico vinculante,</w:t>
      </w:r>
      <w:r w:rsidR="00E856F1">
        <w:rPr>
          <w:rFonts w:ascii="Arial" w:hAnsi="Arial" w:cs="Arial"/>
          <w:sz w:val="28"/>
          <w:szCs w:val="28"/>
        </w:rPr>
        <w:t xml:space="preserve"> lo cierto es que el contenido del Acuerdo que hasta el momento ha sido divu</w:t>
      </w:r>
      <w:r w:rsidR="00CE53CF">
        <w:rPr>
          <w:rFonts w:ascii="Arial" w:hAnsi="Arial" w:cs="Arial"/>
          <w:sz w:val="28"/>
          <w:szCs w:val="28"/>
        </w:rPr>
        <w:t>lgado por el Gobierno Nacional incluye</w:t>
      </w:r>
      <w:r w:rsidR="00E856F1">
        <w:rPr>
          <w:rFonts w:ascii="Arial" w:hAnsi="Arial" w:cs="Arial"/>
          <w:sz w:val="28"/>
          <w:szCs w:val="28"/>
        </w:rPr>
        <w:t xml:space="preserve"> </w:t>
      </w:r>
      <w:r w:rsidR="0016447F">
        <w:rPr>
          <w:rFonts w:ascii="Arial" w:hAnsi="Arial" w:cs="Arial"/>
          <w:sz w:val="28"/>
          <w:szCs w:val="28"/>
        </w:rPr>
        <w:t xml:space="preserve">materias que no se agotan en lo humanitario y que abordan problemas estructurales de la realidad sociopolítica y económica del país. </w:t>
      </w:r>
      <w:r w:rsidR="009C14D0">
        <w:rPr>
          <w:rFonts w:ascii="Arial" w:hAnsi="Arial" w:cs="Arial"/>
          <w:sz w:val="28"/>
          <w:szCs w:val="28"/>
        </w:rPr>
        <w:t>En particular, los temas de desarrollo agrario integral, participación política y solución al problema de las drogas ilícitas, involucran decisiones de contenido político, social y económico que merecen un debate democrático amplio y</w:t>
      </w:r>
      <w:r w:rsidR="00766984">
        <w:rPr>
          <w:rFonts w:ascii="Arial" w:hAnsi="Arial" w:cs="Arial"/>
          <w:sz w:val="28"/>
          <w:szCs w:val="28"/>
        </w:rPr>
        <w:t xml:space="preserve"> que no se agotan en lo que la Corte Constitucional ha entendido como asuntos de DIH, es decir, aquellos dirigidos a humanizar el empleo de la fuerza en situaciones de conflicto y confrontación armada.</w:t>
      </w:r>
    </w:p>
    <w:p w14:paraId="4BBE5EBB" w14:textId="77777777" w:rsidR="00766984" w:rsidRDefault="00766984" w:rsidP="00A5593A">
      <w:pPr>
        <w:spacing w:after="0" w:line="360" w:lineRule="auto"/>
        <w:jc w:val="both"/>
        <w:rPr>
          <w:rFonts w:ascii="Arial" w:hAnsi="Arial" w:cs="Arial"/>
          <w:sz w:val="28"/>
          <w:szCs w:val="28"/>
        </w:rPr>
      </w:pPr>
    </w:p>
    <w:p w14:paraId="2AB97C06" w14:textId="300BE865" w:rsidR="009D7571" w:rsidRDefault="00766984" w:rsidP="005200C1">
      <w:pPr>
        <w:spacing w:after="0" w:line="360" w:lineRule="auto"/>
        <w:jc w:val="both"/>
        <w:rPr>
          <w:rFonts w:ascii="Arial" w:hAnsi="Arial" w:cs="Arial"/>
          <w:sz w:val="28"/>
          <w:szCs w:val="28"/>
        </w:rPr>
      </w:pPr>
      <w:r>
        <w:rPr>
          <w:rFonts w:ascii="Arial" w:hAnsi="Arial" w:cs="Arial"/>
          <w:sz w:val="28"/>
          <w:szCs w:val="28"/>
        </w:rPr>
        <w:t xml:space="preserve">De esta manera, debido a que el carácter vinculante de la decisión que tome el Pueblo convocado a plebiscito no desconoce el derecho a la paz como fundamental, está llamado a debatir democráticamente asuntos nacionales que van más allá de lo humanitario y además aseguraría un equilibrio entre legitimidad política y seguridad jurídica, la Defensoría del Pueblo solicita a la Corte Constitucional que declare exequible </w:t>
      </w:r>
      <w:r w:rsidR="005200C1">
        <w:rPr>
          <w:rFonts w:ascii="Arial" w:hAnsi="Arial" w:cs="Arial"/>
          <w:sz w:val="28"/>
          <w:szCs w:val="28"/>
        </w:rPr>
        <w:t xml:space="preserve">el artículo tercero del proyecto de ley estatutaria mediante el cual se define el carácter y la consecuencia de la mencionada decisión popular. </w:t>
      </w:r>
    </w:p>
    <w:p w14:paraId="24BF774E" w14:textId="77777777" w:rsidR="009D7571" w:rsidRDefault="009D7571" w:rsidP="009D7571">
      <w:pPr>
        <w:spacing w:after="0" w:line="360" w:lineRule="auto"/>
        <w:jc w:val="both"/>
        <w:rPr>
          <w:rFonts w:ascii="Arial" w:hAnsi="Arial" w:cs="Arial"/>
          <w:sz w:val="28"/>
          <w:szCs w:val="28"/>
        </w:rPr>
      </w:pPr>
    </w:p>
    <w:p w14:paraId="38B5CCE8" w14:textId="378B849F" w:rsidR="009D7571" w:rsidRDefault="009D7571" w:rsidP="009D7571">
      <w:pPr>
        <w:spacing w:after="0" w:line="360" w:lineRule="auto"/>
        <w:jc w:val="both"/>
        <w:rPr>
          <w:rFonts w:ascii="Arial" w:hAnsi="Arial" w:cs="Arial"/>
          <w:b/>
          <w:sz w:val="28"/>
          <w:szCs w:val="28"/>
        </w:rPr>
      </w:pPr>
      <w:r>
        <w:rPr>
          <w:rFonts w:ascii="Arial" w:hAnsi="Arial" w:cs="Arial"/>
          <w:b/>
          <w:sz w:val="28"/>
          <w:szCs w:val="28"/>
        </w:rPr>
        <w:t xml:space="preserve">IV.- </w:t>
      </w:r>
      <w:r w:rsidR="005200C1">
        <w:rPr>
          <w:rFonts w:ascii="Arial" w:hAnsi="Arial" w:cs="Arial"/>
          <w:b/>
          <w:sz w:val="28"/>
          <w:szCs w:val="28"/>
        </w:rPr>
        <w:t>Sobre la d</w:t>
      </w:r>
      <w:r>
        <w:rPr>
          <w:rFonts w:ascii="Arial" w:hAnsi="Arial" w:cs="Arial"/>
          <w:b/>
          <w:sz w:val="28"/>
          <w:szCs w:val="28"/>
        </w:rPr>
        <w:t>ivulgación del Acuerdo Final y derechos a la libertad de expresión, información, equidad y libertad del elector.</w:t>
      </w:r>
    </w:p>
    <w:p w14:paraId="101B8199" w14:textId="77777777" w:rsidR="009D7571" w:rsidRDefault="009D7571" w:rsidP="009D7571">
      <w:pPr>
        <w:spacing w:after="0" w:line="360" w:lineRule="auto"/>
        <w:jc w:val="both"/>
        <w:rPr>
          <w:rFonts w:ascii="Arial" w:hAnsi="Arial" w:cs="Arial"/>
          <w:b/>
          <w:sz w:val="28"/>
          <w:szCs w:val="28"/>
        </w:rPr>
      </w:pPr>
    </w:p>
    <w:p w14:paraId="7E6B9F93" w14:textId="404EE90D" w:rsidR="005200C1" w:rsidRDefault="005200C1" w:rsidP="009D7571">
      <w:pPr>
        <w:spacing w:after="0" w:line="360" w:lineRule="auto"/>
        <w:jc w:val="both"/>
        <w:rPr>
          <w:rFonts w:ascii="Arial" w:hAnsi="Arial" w:cs="Arial"/>
          <w:sz w:val="28"/>
          <w:szCs w:val="28"/>
        </w:rPr>
      </w:pPr>
      <w:r>
        <w:rPr>
          <w:rFonts w:ascii="Arial" w:hAnsi="Arial" w:cs="Arial"/>
          <w:sz w:val="28"/>
          <w:szCs w:val="28"/>
        </w:rPr>
        <w:t xml:space="preserve">Para respetar el tiempo que la Honorable Corte me ha concedido, me limitaré a pronunciarme sobre la discusión de participación política de servidores públicos en temas relacionados con la convocatoria a plebiscito. En todo caso, la Defensoría del Pueblo ya hizo llegar a la Corte Constitucional un concepto jurídico en el que se analiza en detalle las demás disposiciones del proyecto de ley estatutaria. </w:t>
      </w:r>
    </w:p>
    <w:p w14:paraId="0483688F" w14:textId="77777777" w:rsidR="005200C1" w:rsidRDefault="005200C1" w:rsidP="009D7571">
      <w:pPr>
        <w:spacing w:after="0" w:line="360" w:lineRule="auto"/>
        <w:jc w:val="both"/>
        <w:rPr>
          <w:rFonts w:ascii="Arial" w:hAnsi="Arial" w:cs="Arial"/>
          <w:sz w:val="28"/>
          <w:szCs w:val="28"/>
        </w:rPr>
      </w:pPr>
    </w:p>
    <w:p w14:paraId="230C1174" w14:textId="00C6D7A5" w:rsidR="00A01BA9" w:rsidRDefault="005200C1" w:rsidP="009D7571">
      <w:pPr>
        <w:spacing w:after="0" w:line="360" w:lineRule="auto"/>
        <w:jc w:val="both"/>
        <w:rPr>
          <w:rFonts w:ascii="Arial" w:hAnsi="Arial" w:cs="Arial"/>
          <w:sz w:val="28"/>
          <w:szCs w:val="28"/>
        </w:rPr>
      </w:pPr>
      <w:r>
        <w:rPr>
          <w:rFonts w:ascii="Arial" w:hAnsi="Arial" w:cs="Arial"/>
          <w:sz w:val="28"/>
          <w:szCs w:val="28"/>
        </w:rPr>
        <w:t xml:space="preserve">El numeral 4 del artículo segundo del proyecto de ley estatutaria contempla un amplio marco de participación de servidores públicos, pues les permite hacer campaña a favor o en contra, debatir, deliberar y expresar pública y libremente sus opiniones o posiciones sobre el plebiscito. </w:t>
      </w:r>
      <w:r w:rsidR="00A01BA9">
        <w:rPr>
          <w:rFonts w:ascii="Arial" w:hAnsi="Arial" w:cs="Arial"/>
          <w:sz w:val="28"/>
          <w:szCs w:val="28"/>
        </w:rPr>
        <w:t>Al respecto la Defensoría del Pueblo encuentra ajustado a la Carta Política la permisión de debatir, deliberar y expresar sus opiniones, pero solicita a la Corte Constitucional que se pronuncie sobre la expresión “</w:t>
      </w:r>
      <w:r w:rsidR="00A01BA9">
        <w:rPr>
          <w:rFonts w:ascii="Arial" w:hAnsi="Arial" w:cs="Arial"/>
          <w:i/>
          <w:sz w:val="28"/>
          <w:szCs w:val="28"/>
        </w:rPr>
        <w:t>que deseen hacer campaña en favor o en contra”</w:t>
      </w:r>
      <w:r w:rsidR="00A01BA9">
        <w:rPr>
          <w:rFonts w:ascii="Arial" w:hAnsi="Arial" w:cs="Arial"/>
          <w:sz w:val="28"/>
          <w:szCs w:val="28"/>
        </w:rPr>
        <w:t xml:space="preserve"> por la siguiente razón.</w:t>
      </w:r>
    </w:p>
    <w:p w14:paraId="06E45613" w14:textId="77777777" w:rsidR="00A01BA9" w:rsidRDefault="00A01BA9" w:rsidP="009D7571">
      <w:pPr>
        <w:spacing w:after="0" w:line="360" w:lineRule="auto"/>
        <w:jc w:val="both"/>
        <w:rPr>
          <w:rFonts w:ascii="Arial" w:hAnsi="Arial" w:cs="Arial"/>
          <w:sz w:val="28"/>
          <w:szCs w:val="28"/>
        </w:rPr>
      </w:pPr>
    </w:p>
    <w:p w14:paraId="2FCB744D" w14:textId="77777777" w:rsidR="007C5F77" w:rsidRDefault="005733D3" w:rsidP="00A01BA9">
      <w:pPr>
        <w:spacing w:after="0" w:line="360" w:lineRule="auto"/>
        <w:jc w:val="both"/>
        <w:rPr>
          <w:rFonts w:ascii="Arial" w:hAnsi="Arial" w:cs="Arial"/>
          <w:sz w:val="28"/>
          <w:szCs w:val="28"/>
        </w:rPr>
      </w:pPr>
      <w:r>
        <w:rPr>
          <w:rFonts w:ascii="Arial" w:hAnsi="Arial" w:cs="Arial"/>
          <w:sz w:val="28"/>
          <w:szCs w:val="28"/>
        </w:rPr>
        <w:t xml:space="preserve">La Corte Constitucional ha señalado en sentencias como la C-1508 de 2000 que la prohibición general de participación en política de servidores públicos no puede ser tan amplia hasta el punto de vaciar de contenido su derecho a la libertad de expresión. Así, los empleados del Estado pueden dar su posición sobre asuntos de interés nacional sin que esto incida directamente en contiendas electorales. </w:t>
      </w:r>
      <w:r w:rsidR="007C5F77">
        <w:rPr>
          <w:rFonts w:ascii="Arial" w:hAnsi="Arial" w:cs="Arial"/>
          <w:sz w:val="28"/>
          <w:szCs w:val="28"/>
        </w:rPr>
        <w:t>En este caso, e</w:t>
      </w:r>
      <w:r>
        <w:rPr>
          <w:rFonts w:ascii="Arial" w:hAnsi="Arial" w:cs="Arial"/>
          <w:sz w:val="28"/>
          <w:szCs w:val="28"/>
        </w:rPr>
        <w:t xml:space="preserve">l plebiscito no es una contienda electoral entre candidatos que aspiran a ocupar cargos públicos, sino un mecanismo de participación ciudadana dirigido a debatir ampliamente un asunto del mayor interés nacional como lo es la refrendación de un acuerdo de paz. </w:t>
      </w:r>
    </w:p>
    <w:p w14:paraId="59A04249" w14:textId="77777777" w:rsidR="007C5F77" w:rsidRDefault="007C5F77" w:rsidP="00A01BA9">
      <w:pPr>
        <w:spacing w:after="0" w:line="360" w:lineRule="auto"/>
        <w:jc w:val="both"/>
        <w:rPr>
          <w:rFonts w:ascii="Arial" w:hAnsi="Arial" w:cs="Arial"/>
          <w:sz w:val="28"/>
          <w:szCs w:val="28"/>
        </w:rPr>
      </w:pPr>
    </w:p>
    <w:p w14:paraId="33161C0D" w14:textId="7767B2C6" w:rsidR="005733D3" w:rsidRDefault="005733D3" w:rsidP="007C5F77">
      <w:pPr>
        <w:spacing w:after="0" w:line="360" w:lineRule="auto"/>
        <w:jc w:val="both"/>
        <w:rPr>
          <w:rFonts w:ascii="Arial" w:eastAsia="Times New Roman" w:hAnsi="Arial" w:cs="Arial"/>
          <w:color w:val="000000"/>
          <w:sz w:val="28"/>
          <w:szCs w:val="28"/>
          <w:lang w:val="es-ES_tradnl" w:eastAsia="es-CO"/>
        </w:rPr>
      </w:pPr>
      <w:r>
        <w:rPr>
          <w:rFonts w:ascii="Arial" w:hAnsi="Arial" w:cs="Arial"/>
          <w:sz w:val="28"/>
          <w:szCs w:val="28"/>
        </w:rPr>
        <w:t>Al reconocer que la prohibición de participación en pol</w:t>
      </w:r>
      <w:r w:rsidR="007C5F77">
        <w:rPr>
          <w:rFonts w:ascii="Arial" w:hAnsi="Arial" w:cs="Arial"/>
          <w:sz w:val="28"/>
          <w:szCs w:val="28"/>
        </w:rPr>
        <w:t xml:space="preserve">ítica no es absoluta, </w:t>
      </w:r>
      <w:r>
        <w:rPr>
          <w:rFonts w:ascii="Arial" w:hAnsi="Arial" w:cs="Arial"/>
          <w:sz w:val="28"/>
          <w:szCs w:val="28"/>
        </w:rPr>
        <w:t xml:space="preserve">que el plebiscito no es una contienda electoral en la que un servidor público de cargo directivo pudiera respaldar una candidatura personal, </w:t>
      </w:r>
      <w:r w:rsidR="007C5F77">
        <w:rPr>
          <w:rFonts w:ascii="Arial" w:hAnsi="Arial" w:cs="Arial"/>
          <w:sz w:val="28"/>
          <w:szCs w:val="28"/>
        </w:rPr>
        <w:t xml:space="preserve">y que además está </w:t>
      </w:r>
      <w:r w:rsidR="007C5F77" w:rsidRPr="007C5F77">
        <w:rPr>
          <w:rFonts w:ascii="Arial" w:hAnsi="Arial" w:cs="Arial"/>
          <w:sz w:val="28"/>
          <w:szCs w:val="28"/>
        </w:rPr>
        <w:t xml:space="preserve">dirigido a decidir sobre un asunto de gran relevancia para la ciudadanía, </w:t>
      </w:r>
      <w:r w:rsidRPr="007C5F77">
        <w:rPr>
          <w:rFonts w:ascii="Arial" w:hAnsi="Arial" w:cs="Arial"/>
          <w:sz w:val="28"/>
          <w:szCs w:val="28"/>
        </w:rPr>
        <w:t xml:space="preserve">la protección del derecho a la libertad de expresión del empleado del Estado </w:t>
      </w:r>
      <w:r w:rsidR="00955881" w:rsidRPr="007C5F77">
        <w:rPr>
          <w:rFonts w:ascii="Arial" w:hAnsi="Arial" w:cs="Arial"/>
          <w:sz w:val="28"/>
          <w:szCs w:val="28"/>
        </w:rPr>
        <w:t xml:space="preserve">puede y debe ampliarse. </w:t>
      </w:r>
      <w:r w:rsidR="007C5F77" w:rsidRPr="007C5F77">
        <w:rPr>
          <w:rFonts w:ascii="Arial" w:hAnsi="Arial" w:cs="Arial"/>
          <w:sz w:val="28"/>
          <w:szCs w:val="28"/>
        </w:rPr>
        <w:t xml:space="preserve">Por lo que en criterio de esta entidad, resulta constitucional que puedan </w:t>
      </w:r>
      <w:r w:rsidR="007C5F77" w:rsidRPr="007C5F77">
        <w:rPr>
          <w:rFonts w:ascii="Arial" w:eastAsia="Times New Roman" w:hAnsi="Arial" w:cs="Arial"/>
          <w:color w:val="000000"/>
          <w:sz w:val="28"/>
          <w:szCs w:val="28"/>
          <w:lang w:val="es-ES_tradnl" w:eastAsia="es-CO"/>
        </w:rPr>
        <w:t xml:space="preserve">debatir, deliberar y expresar pública y libremente sus opiniones o posiciones frente al mecanismo de refrendación. </w:t>
      </w:r>
    </w:p>
    <w:p w14:paraId="23B0756F" w14:textId="77777777" w:rsidR="007C5F77" w:rsidRDefault="007C5F77" w:rsidP="007C5F77">
      <w:pPr>
        <w:spacing w:after="0" w:line="360" w:lineRule="auto"/>
        <w:jc w:val="both"/>
        <w:rPr>
          <w:rFonts w:ascii="Arial" w:eastAsia="Times New Roman" w:hAnsi="Arial" w:cs="Arial"/>
          <w:color w:val="000000"/>
          <w:sz w:val="28"/>
          <w:szCs w:val="28"/>
          <w:lang w:val="es-ES_tradnl" w:eastAsia="es-CO"/>
        </w:rPr>
      </w:pPr>
    </w:p>
    <w:p w14:paraId="4395F48C" w14:textId="5AE7E559" w:rsidR="007C5F77" w:rsidRPr="00DC2C16" w:rsidRDefault="007C5F77" w:rsidP="007C5F77">
      <w:pPr>
        <w:spacing w:after="0" w:line="360" w:lineRule="auto"/>
        <w:jc w:val="both"/>
        <w:rPr>
          <w:rFonts w:ascii="Arial" w:hAnsi="Arial" w:cs="Arial"/>
          <w:sz w:val="28"/>
          <w:szCs w:val="28"/>
        </w:rPr>
      </w:pPr>
      <w:r>
        <w:rPr>
          <w:rFonts w:ascii="Arial" w:eastAsia="Times New Roman" w:hAnsi="Arial" w:cs="Arial"/>
          <w:color w:val="000000"/>
          <w:sz w:val="28"/>
          <w:szCs w:val="28"/>
          <w:lang w:val="es-ES_tradnl" w:eastAsia="es-CO"/>
        </w:rPr>
        <w:t>Sin embargo, me permito llamar la atención de la Corte sobre la posibilidad que tienen los servidores públicos para</w:t>
      </w:r>
      <w:r w:rsidRPr="007C5F77">
        <w:rPr>
          <w:rFonts w:ascii="Arial" w:eastAsia="Times New Roman" w:hAnsi="Arial" w:cs="Arial"/>
          <w:i/>
          <w:color w:val="000000"/>
          <w:sz w:val="28"/>
          <w:szCs w:val="28"/>
          <w:lang w:val="es-ES_tradnl" w:eastAsia="es-CO"/>
        </w:rPr>
        <w:t xml:space="preserve"> hacer campaña a favor o en contra</w:t>
      </w:r>
      <w:r>
        <w:rPr>
          <w:rFonts w:ascii="Arial" w:eastAsia="Times New Roman" w:hAnsi="Arial" w:cs="Arial"/>
          <w:color w:val="000000"/>
          <w:sz w:val="28"/>
          <w:szCs w:val="28"/>
          <w:lang w:val="es-ES_tradnl" w:eastAsia="es-CO"/>
        </w:rPr>
        <w:t xml:space="preserve"> </w:t>
      </w:r>
      <w:r w:rsidRPr="00F66002">
        <w:rPr>
          <w:rFonts w:ascii="Arial" w:eastAsia="Times New Roman" w:hAnsi="Arial" w:cs="Arial"/>
          <w:color w:val="000000"/>
          <w:sz w:val="28"/>
          <w:szCs w:val="28"/>
          <w:lang w:val="es-ES_tradnl" w:eastAsia="es-CO"/>
        </w:rPr>
        <w:t xml:space="preserve">del plebiscito, pues la Corte Constitucional también ha fijado límites a la permisión de expresión de sus opiniones y posturas. </w:t>
      </w:r>
      <w:r w:rsidR="00F66002" w:rsidRPr="00F66002">
        <w:rPr>
          <w:rFonts w:ascii="Arial" w:eastAsia="Times New Roman" w:hAnsi="Arial" w:cs="Arial"/>
          <w:color w:val="000000"/>
          <w:sz w:val="28"/>
          <w:szCs w:val="28"/>
          <w:lang w:val="es-ES_tradnl" w:eastAsia="es-CO"/>
        </w:rPr>
        <w:t xml:space="preserve">En sentencia C-794 de 2014 señaló que </w:t>
      </w:r>
      <w:r w:rsidR="00F66002">
        <w:rPr>
          <w:rFonts w:ascii="Arial" w:eastAsia="Times New Roman" w:hAnsi="Arial" w:cs="Arial"/>
          <w:color w:val="000000"/>
          <w:sz w:val="28"/>
          <w:szCs w:val="28"/>
          <w:lang w:val="es-ES_tradnl" w:eastAsia="es-CO"/>
        </w:rPr>
        <w:t>“</w:t>
      </w:r>
      <w:r w:rsidR="00F66002" w:rsidRPr="00F66002">
        <w:rPr>
          <w:rFonts w:ascii="Arial" w:eastAsia="Times New Roman" w:hAnsi="Arial" w:cs="Arial"/>
          <w:i/>
          <w:sz w:val="28"/>
          <w:szCs w:val="28"/>
          <w:bdr w:val="none" w:sz="0" w:space="0" w:color="auto" w:frame="1"/>
          <w:lang w:eastAsia="es-CO"/>
        </w:rPr>
        <w:t>la participación de los empleados del Estado en las actividades de los partidos y movimientos o en las controversias políticas, se subordina a la expedición de un régimen estatutario que la decrete y establezca las condiciones para ello.</w:t>
      </w:r>
      <w:r w:rsidR="00F66002">
        <w:rPr>
          <w:rFonts w:ascii="Arial" w:eastAsia="Times New Roman" w:hAnsi="Arial" w:cs="Arial"/>
          <w:i/>
          <w:sz w:val="28"/>
          <w:szCs w:val="28"/>
          <w:bdr w:val="none" w:sz="0" w:space="0" w:color="auto" w:frame="1"/>
          <w:lang w:eastAsia="es-CO"/>
        </w:rPr>
        <w:t>”</w:t>
      </w:r>
      <w:r w:rsidR="00F66002">
        <w:rPr>
          <w:rFonts w:ascii="Arial" w:eastAsia="Times New Roman" w:hAnsi="Arial" w:cs="Arial"/>
          <w:sz w:val="28"/>
          <w:szCs w:val="28"/>
          <w:bdr w:val="none" w:sz="0" w:space="0" w:color="auto" w:frame="1"/>
          <w:lang w:eastAsia="es-CO"/>
        </w:rPr>
        <w:t xml:space="preserve"> </w:t>
      </w:r>
      <w:r w:rsidR="00306F75">
        <w:rPr>
          <w:rFonts w:ascii="Arial" w:eastAsia="Times New Roman" w:hAnsi="Arial" w:cs="Arial"/>
          <w:sz w:val="28"/>
          <w:szCs w:val="28"/>
          <w:bdr w:val="none" w:sz="0" w:space="0" w:color="auto" w:frame="1"/>
          <w:lang w:eastAsia="es-CO"/>
        </w:rPr>
        <w:t xml:space="preserve">En criterio de la Defensoría del Pueblo, hacer campañas </w:t>
      </w:r>
      <w:r w:rsidR="00250CEE">
        <w:rPr>
          <w:rFonts w:ascii="Arial" w:eastAsia="Times New Roman" w:hAnsi="Arial" w:cs="Arial"/>
          <w:sz w:val="28"/>
          <w:szCs w:val="28"/>
          <w:bdr w:val="none" w:sz="0" w:space="0" w:color="auto" w:frame="1"/>
          <w:lang w:eastAsia="es-CO"/>
        </w:rPr>
        <w:t xml:space="preserve">activas </w:t>
      </w:r>
      <w:r w:rsidR="00306F75">
        <w:rPr>
          <w:rFonts w:ascii="Arial" w:eastAsia="Times New Roman" w:hAnsi="Arial" w:cs="Arial"/>
          <w:sz w:val="28"/>
          <w:szCs w:val="28"/>
          <w:bdr w:val="none" w:sz="0" w:space="0" w:color="auto" w:frame="1"/>
          <w:lang w:eastAsia="es-CO"/>
        </w:rPr>
        <w:t>en favor del SI o el NO es una permisión que va más allá de la libertad de expresar la op</w:t>
      </w:r>
      <w:r w:rsidR="00250CEE">
        <w:rPr>
          <w:rFonts w:ascii="Arial" w:eastAsia="Times New Roman" w:hAnsi="Arial" w:cs="Arial"/>
          <w:sz w:val="28"/>
          <w:szCs w:val="28"/>
          <w:bdr w:val="none" w:sz="0" w:space="0" w:color="auto" w:frame="1"/>
          <w:lang w:eastAsia="es-CO"/>
        </w:rPr>
        <w:t>i</w:t>
      </w:r>
      <w:r w:rsidR="00306F75">
        <w:rPr>
          <w:rFonts w:ascii="Arial" w:eastAsia="Times New Roman" w:hAnsi="Arial" w:cs="Arial"/>
          <w:sz w:val="28"/>
          <w:szCs w:val="28"/>
          <w:bdr w:val="none" w:sz="0" w:space="0" w:color="auto" w:frame="1"/>
          <w:lang w:eastAsia="es-CO"/>
        </w:rPr>
        <w:t xml:space="preserve">nión o posición del servidor público y que puede enmarcarse en una actividad proselitista propia de un partido político, lo cual únicamente podría tener lugar si existiera el régimen estatutario indicado por la Corte Constitucional que hasta el momento no se ha expedido. En consecuencia, </w:t>
      </w:r>
      <w:r w:rsidR="007E52B9">
        <w:rPr>
          <w:rFonts w:ascii="Arial" w:eastAsia="Times New Roman" w:hAnsi="Arial" w:cs="Arial"/>
          <w:sz w:val="28"/>
          <w:szCs w:val="28"/>
          <w:bdr w:val="none" w:sz="0" w:space="0" w:color="auto" w:frame="1"/>
          <w:lang w:eastAsia="es-CO"/>
        </w:rPr>
        <w:t xml:space="preserve">la Defensoría del Pueblo solicita a la Corte que proteja el derecho de los servidores públicos a debatir, deliberar y expresar sus </w:t>
      </w:r>
      <w:r w:rsidR="007E52B9" w:rsidRPr="007E52B9">
        <w:rPr>
          <w:rFonts w:ascii="Arial" w:eastAsia="Times New Roman" w:hAnsi="Arial" w:cs="Arial"/>
          <w:sz w:val="28"/>
          <w:szCs w:val="28"/>
          <w:bdr w:val="none" w:sz="0" w:space="0" w:color="auto" w:frame="1"/>
          <w:lang w:eastAsia="es-CO"/>
        </w:rPr>
        <w:t>opiniones o posiciones frente al plebiscito, pero que declare inexequible la expresión “</w:t>
      </w:r>
      <w:r w:rsidR="007E52B9" w:rsidRPr="0003067E">
        <w:rPr>
          <w:rFonts w:ascii="Arial" w:eastAsia="Times New Roman" w:hAnsi="Arial" w:cs="Arial"/>
          <w:i/>
          <w:color w:val="000000"/>
          <w:sz w:val="28"/>
          <w:szCs w:val="28"/>
          <w:lang w:val="es-ES_tradnl" w:eastAsia="es-CO"/>
        </w:rPr>
        <w:t xml:space="preserve">que </w:t>
      </w:r>
      <w:r w:rsidR="007E52B9" w:rsidRPr="00DC2C16">
        <w:rPr>
          <w:rFonts w:ascii="Arial" w:eastAsia="Times New Roman" w:hAnsi="Arial" w:cs="Arial"/>
          <w:i/>
          <w:color w:val="000000"/>
          <w:sz w:val="28"/>
          <w:szCs w:val="28"/>
          <w:lang w:val="es-ES_tradnl" w:eastAsia="es-CO"/>
        </w:rPr>
        <w:t>deseen hacer campaña a favor o en contra</w:t>
      </w:r>
      <w:r w:rsidR="007E52B9" w:rsidRPr="00DC2C16">
        <w:rPr>
          <w:rFonts w:ascii="Arial" w:eastAsia="Times New Roman" w:hAnsi="Arial" w:cs="Arial"/>
          <w:color w:val="000000"/>
          <w:sz w:val="28"/>
          <w:szCs w:val="28"/>
          <w:lang w:val="es-ES_tradnl" w:eastAsia="es-CO"/>
        </w:rPr>
        <w:t xml:space="preserve">” contenida en el </w:t>
      </w:r>
      <w:r w:rsidR="007E52B9" w:rsidRPr="00DC2C16">
        <w:rPr>
          <w:rFonts w:ascii="Arial" w:hAnsi="Arial" w:cs="Arial"/>
          <w:sz w:val="28"/>
          <w:szCs w:val="28"/>
        </w:rPr>
        <w:t>numeral 4 del artículo segundo del proyecto de ley estatutaria.</w:t>
      </w:r>
    </w:p>
    <w:p w14:paraId="42856104" w14:textId="77777777" w:rsidR="00063440" w:rsidRPr="00DC2C16" w:rsidRDefault="00063440" w:rsidP="007C5F77">
      <w:pPr>
        <w:spacing w:after="0" w:line="360" w:lineRule="auto"/>
        <w:jc w:val="both"/>
        <w:rPr>
          <w:rFonts w:ascii="Arial" w:hAnsi="Arial" w:cs="Arial"/>
          <w:sz w:val="28"/>
          <w:szCs w:val="28"/>
        </w:rPr>
      </w:pPr>
    </w:p>
    <w:p w14:paraId="2643A50A" w14:textId="25A9FE0B" w:rsidR="00701783" w:rsidRDefault="00DC2C16" w:rsidP="007C5F77">
      <w:pPr>
        <w:spacing w:after="0" w:line="360" w:lineRule="auto"/>
        <w:jc w:val="both"/>
        <w:rPr>
          <w:rFonts w:ascii="Arial" w:hAnsi="Arial" w:cs="Arial"/>
          <w:sz w:val="28"/>
          <w:szCs w:val="28"/>
        </w:rPr>
      </w:pPr>
      <w:r w:rsidRPr="00DC2C16">
        <w:rPr>
          <w:rFonts w:ascii="Arial" w:hAnsi="Arial" w:cs="Arial"/>
          <w:sz w:val="28"/>
          <w:szCs w:val="28"/>
        </w:rPr>
        <w:t xml:space="preserve">En el Informe “Basta Ya” del Centro Nacional de Memoria Histórica se cita: </w:t>
      </w:r>
      <w:r w:rsidRPr="00DC2C16">
        <w:rPr>
          <w:rFonts w:ascii="Arial" w:hAnsi="Arial" w:cs="Arial"/>
          <w:i/>
          <w:sz w:val="28"/>
          <w:szCs w:val="28"/>
        </w:rPr>
        <w:t>La guerra ha sido también el recurso para impedir la democracia y la violencia el medio para acallar a críticos y opositores, para impedir la denuncia y evitar justos reclamos y transformaciones.</w:t>
      </w:r>
      <w:r>
        <w:rPr>
          <w:rFonts w:ascii="Arial" w:hAnsi="Arial" w:cs="Arial"/>
          <w:sz w:val="28"/>
          <w:szCs w:val="28"/>
        </w:rPr>
        <w:t xml:space="preserve"> </w:t>
      </w:r>
    </w:p>
    <w:p w14:paraId="0583A5FF" w14:textId="77777777" w:rsidR="003A6C40" w:rsidRDefault="003A6C40" w:rsidP="007C5F77">
      <w:pPr>
        <w:spacing w:after="0" w:line="360" w:lineRule="auto"/>
        <w:jc w:val="both"/>
        <w:rPr>
          <w:rFonts w:ascii="Arial" w:hAnsi="Arial" w:cs="Arial"/>
          <w:sz w:val="28"/>
          <w:szCs w:val="28"/>
        </w:rPr>
      </w:pPr>
    </w:p>
    <w:p w14:paraId="2683CB61" w14:textId="3371534B" w:rsidR="003A6C40" w:rsidRDefault="003A6C40" w:rsidP="007C5F77">
      <w:pPr>
        <w:spacing w:after="0" w:line="360" w:lineRule="auto"/>
        <w:jc w:val="both"/>
        <w:rPr>
          <w:rFonts w:ascii="Arial" w:hAnsi="Arial" w:cs="Arial"/>
          <w:sz w:val="28"/>
          <w:szCs w:val="28"/>
        </w:rPr>
      </w:pPr>
      <w:r>
        <w:rPr>
          <w:rFonts w:ascii="Arial" w:hAnsi="Arial" w:cs="Arial"/>
          <w:sz w:val="28"/>
          <w:szCs w:val="28"/>
        </w:rPr>
        <w:t xml:space="preserve">El hito de la democracia ha sucumbido ante el hito de la guerra en muchos momentos de la historia colombiana. </w:t>
      </w:r>
      <w:r w:rsidR="00900DF9">
        <w:rPr>
          <w:rFonts w:ascii="Arial" w:hAnsi="Arial" w:cs="Arial"/>
          <w:sz w:val="28"/>
          <w:szCs w:val="28"/>
        </w:rPr>
        <w:t>E</w:t>
      </w:r>
      <w:r>
        <w:rPr>
          <w:rFonts w:ascii="Arial" w:hAnsi="Arial" w:cs="Arial"/>
          <w:sz w:val="28"/>
          <w:szCs w:val="28"/>
        </w:rPr>
        <w:t>stoy convencido que la superación del conflicto armado exige de un proceso previo de legitimación política en el que el debate plural prevalezca so</w:t>
      </w:r>
      <w:r w:rsidR="004D1CDE">
        <w:rPr>
          <w:rFonts w:ascii="Arial" w:hAnsi="Arial" w:cs="Arial"/>
          <w:sz w:val="28"/>
          <w:szCs w:val="28"/>
        </w:rPr>
        <w:t>bre los ataques intimidantes. Una</w:t>
      </w:r>
      <w:r>
        <w:rPr>
          <w:rFonts w:ascii="Arial" w:hAnsi="Arial" w:cs="Arial"/>
          <w:sz w:val="28"/>
          <w:szCs w:val="28"/>
        </w:rPr>
        <w:t xml:space="preserve"> refrendación popular del Acuerdo Final </w:t>
      </w:r>
      <w:r w:rsidR="004D1CDE">
        <w:rPr>
          <w:rFonts w:ascii="Arial" w:hAnsi="Arial" w:cs="Arial"/>
          <w:sz w:val="28"/>
          <w:szCs w:val="28"/>
        </w:rPr>
        <w:t xml:space="preserve">previa a su incorporación en el ordenamiento jurídico </w:t>
      </w:r>
      <w:r>
        <w:rPr>
          <w:rFonts w:ascii="Arial" w:hAnsi="Arial" w:cs="Arial"/>
          <w:sz w:val="28"/>
          <w:szCs w:val="28"/>
        </w:rPr>
        <w:t xml:space="preserve">no solo es un desarrollo del principio democrático contenido de la Constitución, sino que además es garantía de la paz estable y duradera que como sociedad anhelamos alcanzar. </w:t>
      </w:r>
      <w:r w:rsidR="00900DF9">
        <w:rPr>
          <w:rFonts w:ascii="Arial" w:hAnsi="Arial" w:cs="Arial"/>
          <w:sz w:val="28"/>
          <w:szCs w:val="28"/>
        </w:rPr>
        <w:t>Por eso, como Defensor del Pueblo, solicito a la Honorable Corte Constitucional que declare exequible el proyecto de ley estatutaria en los términos y con las precisiones aquí mencionadas y desarrolladas a mayor profundidad en el escrito enviado a la Corte.</w:t>
      </w:r>
    </w:p>
    <w:p w14:paraId="266FA23C" w14:textId="77777777" w:rsidR="00900DF9" w:rsidRDefault="00900DF9" w:rsidP="007C5F77">
      <w:pPr>
        <w:spacing w:after="0" w:line="360" w:lineRule="auto"/>
        <w:jc w:val="both"/>
        <w:rPr>
          <w:rFonts w:ascii="Arial" w:hAnsi="Arial" w:cs="Arial"/>
          <w:sz w:val="28"/>
          <w:szCs w:val="28"/>
        </w:rPr>
      </w:pPr>
    </w:p>
    <w:p w14:paraId="21144761" w14:textId="22031727" w:rsidR="00900DF9" w:rsidRPr="00DC2C16" w:rsidRDefault="00900DF9" w:rsidP="007C5F77">
      <w:pPr>
        <w:spacing w:after="0" w:line="360" w:lineRule="auto"/>
        <w:jc w:val="both"/>
        <w:rPr>
          <w:rFonts w:ascii="Arial" w:hAnsi="Arial" w:cs="Arial"/>
          <w:sz w:val="28"/>
          <w:szCs w:val="28"/>
        </w:rPr>
      </w:pPr>
      <w:r>
        <w:rPr>
          <w:rFonts w:ascii="Arial" w:hAnsi="Arial" w:cs="Arial"/>
          <w:sz w:val="28"/>
          <w:szCs w:val="28"/>
        </w:rPr>
        <w:t xml:space="preserve">Muchas gracias. </w:t>
      </w:r>
    </w:p>
    <w:p w14:paraId="0D5670E9" w14:textId="77777777" w:rsidR="00250CEE" w:rsidRPr="00DC2C16" w:rsidRDefault="00250CEE" w:rsidP="007C5F77">
      <w:pPr>
        <w:spacing w:after="0" w:line="360" w:lineRule="auto"/>
        <w:jc w:val="both"/>
        <w:rPr>
          <w:rFonts w:ascii="Arial" w:hAnsi="Arial" w:cs="Arial"/>
          <w:sz w:val="28"/>
          <w:szCs w:val="28"/>
        </w:rPr>
      </w:pPr>
    </w:p>
    <w:p w14:paraId="11E7B11F" w14:textId="4D30CC14" w:rsidR="00063440" w:rsidRPr="00DC2C16" w:rsidRDefault="00063440" w:rsidP="007C5F77">
      <w:pPr>
        <w:spacing w:after="0" w:line="360" w:lineRule="auto"/>
        <w:jc w:val="both"/>
        <w:rPr>
          <w:rFonts w:ascii="Arial" w:hAnsi="Arial" w:cs="Arial"/>
          <w:i/>
          <w:sz w:val="28"/>
          <w:szCs w:val="28"/>
        </w:rPr>
      </w:pPr>
    </w:p>
    <w:sectPr w:rsidR="00063440" w:rsidRPr="00DC2C16">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622F2" w14:textId="77777777" w:rsidR="00112A3C" w:rsidRDefault="00112A3C" w:rsidP="00314380">
      <w:pPr>
        <w:spacing w:after="0" w:line="240" w:lineRule="auto"/>
      </w:pPr>
      <w:r>
        <w:separator/>
      </w:r>
    </w:p>
  </w:endnote>
  <w:endnote w:type="continuationSeparator" w:id="0">
    <w:p w14:paraId="4E588FF3" w14:textId="77777777" w:rsidR="00112A3C" w:rsidRDefault="00112A3C" w:rsidP="00314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47E05" w14:textId="77777777" w:rsidR="00E856F1" w:rsidRDefault="00E856F1" w:rsidP="006B2CA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CC96B40" w14:textId="77777777" w:rsidR="00E856F1" w:rsidRDefault="00E856F1" w:rsidP="0031438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25D058" w14:textId="77777777" w:rsidR="00E856F1" w:rsidRDefault="00E856F1" w:rsidP="006B2CA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12A3C">
      <w:rPr>
        <w:rStyle w:val="Nmerodepgina"/>
        <w:noProof/>
      </w:rPr>
      <w:t>1</w:t>
    </w:r>
    <w:r>
      <w:rPr>
        <w:rStyle w:val="Nmerodepgina"/>
      </w:rPr>
      <w:fldChar w:fldCharType="end"/>
    </w:r>
  </w:p>
  <w:p w14:paraId="0A3CF8EA" w14:textId="77777777" w:rsidR="00E856F1" w:rsidRDefault="00E856F1" w:rsidP="00314380">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BDC7A" w14:textId="77777777" w:rsidR="00112A3C" w:rsidRDefault="00112A3C" w:rsidP="00314380">
      <w:pPr>
        <w:spacing w:after="0" w:line="240" w:lineRule="auto"/>
      </w:pPr>
      <w:r>
        <w:separator/>
      </w:r>
    </w:p>
  </w:footnote>
  <w:footnote w:type="continuationSeparator" w:id="0">
    <w:p w14:paraId="5878BBCD" w14:textId="77777777" w:rsidR="00112A3C" w:rsidRDefault="00112A3C" w:rsidP="003143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77ECD"/>
    <w:multiLevelType w:val="hybridMultilevel"/>
    <w:tmpl w:val="968855D0"/>
    <w:lvl w:ilvl="0" w:tplc="37C6078A">
      <w:start w:val="1"/>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F34"/>
    <w:rsid w:val="0000213C"/>
    <w:rsid w:val="0000373B"/>
    <w:rsid w:val="000039A7"/>
    <w:rsid w:val="000058EF"/>
    <w:rsid w:val="00012E44"/>
    <w:rsid w:val="00013FF3"/>
    <w:rsid w:val="00016698"/>
    <w:rsid w:val="00017D20"/>
    <w:rsid w:val="0002690A"/>
    <w:rsid w:val="00027A8F"/>
    <w:rsid w:val="0003067E"/>
    <w:rsid w:val="00042226"/>
    <w:rsid w:val="00044E19"/>
    <w:rsid w:val="000532F7"/>
    <w:rsid w:val="000539D2"/>
    <w:rsid w:val="00054CB8"/>
    <w:rsid w:val="0005693E"/>
    <w:rsid w:val="00063440"/>
    <w:rsid w:val="00073A52"/>
    <w:rsid w:val="0007793C"/>
    <w:rsid w:val="00080DCC"/>
    <w:rsid w:val="00081C84"/>
    <w:rsid w:val="00090943"/>
    <w:rsid w:val="0009470D"/>
    <w:rsid w:val="000A0B56"/>
    <w:rsid w:val="000A0D00"/>
    <w:rsid w:val="000A18F3"/>
    <w:rsid w:val="000A1FCC"/>
    <w:rsid w:val="000D00C0"/>
    <w:rsid w:val="000D033F"/>
    <w:rsid w:val="000D4ADB"/>
    <w:rsid w:val="000D5351"/>
    <w:rsid w:val="000E19CD"/>
    <w:rsid w:val="000E3DCF"/>
    <w:rsid w:val="00101E16"/>
    <w:rsid w:val="00103343"/>
    <w:rsid w:val="001042F5"/>
    <w:rsid w:val="001111D3"/>
    <w:rsid w:val="00112A3C"/>
    <w:rsid w:val="00112C80"/>
    <w:rsid w:val="0011514E"/>
    <w:rsid w:val="00121C8E"/>
    <w:rsid w:val="00126396"/>
    <w:rsid w:val="001364D5"/>
    <w:rsid w:val="001416AA"/>
    <w:rsid w:val="00142A42"/>
    <w:rsid w:val="00145778"/>
    <w:rsid w:val="001518BE"/>
    <w:rsid w:val="00152F13"/>
    <w:rsid w:val="001539D9"/>
    <w:rsid w:val="00153DB4"/>
    <w:rsid w:val="0016447F"/>
    <w:rsid w:val="00166254"/>
    <w:rsid w:val="0018332B"/>
    <w:rsid w:val="001861A8"/>
    <w:rsid w:val="00186771"/>
    <w:rsid w:val="001941F5"/>
    <w:rsid w:val="00197219"/>
    <w:rsid w:val="001A0A4E"/>
    <w:rsid w:val="001A25EC"/>
    <w:rsid w:val="001A26C1"/>
    <w:rsid w:val="001A2E50"/>
    <w:rsid w:val="001B1CE0"/>
    <w:rsid w:val="001C112C"/>
    <w:rsid w:val="001D222C"/>
    <w:rsid w:val="001D7258"/>
    <w:rsid w:val="001E1718"/>
    <w:rsid w:val="001E1958"/>
    <w:rsid w:val="001E5158"/>
    <w:rsid w:val="001F511F"/>
    <w:rsid w:val="00215619"/>
    <w:rsid w:val="00221F63"/>
    <w:rsid w:val="0023183C"/>
    <w:rsid w:val="00231AC5"/>
    <w:rsid w:val="002353AC"/>
    <w:rsid w:val="00236C8F"/>
    <w:rsid w:val="0024149F"/>
    <w:rsid w:val="00241E21"/>
    <w:rsid w:val="0025075B"/>
    <w:rsid w:val="00250CEE"/>
    <w:rsid w:val="00251730"/>
    <w:rsid w:val="002631E5"/>
    <w:rsid w:val="00275137"/>
    <w:rsid w:val="0027526B"/>
    <w:rsid w:val="00276928"/>
    <w:rsid w:val="0028539A"/>
    <w:rsid w:val="0028736E"/>
    <w:rsid w:val="00291FDD"/>
    <w:rsid w:val="002945FE"/>
    <w:rsid w:val="00296784"/>
    <w:rsid w:val="002A0B58"/>
    <w:rsid w:val="002A22ED"/>
    <w:rsid w:val="002A2917"/>
    <w:rsid w:val="002A5BD8"/>
    <w:rsid w:val="002B7970"/>
    <w:rsid w:val="002C6078"/>
    <w:rsid w:val="002C6A7D"/>
    <w:rsid w:val="002C7D97"/>
    <w:rsid w:val="002D25DF"/>
    <w:rsid w:val="002D79EA"/>
    <w:rsid w:val="002F4A77"/>
    <w:rsid w:val="00300EA3"/>
    <w:rsid w:val="003034C0"/>
    <w:rsid w:val="00305019"/>
    <w:rsid w:val="00306F75"/>
    <w:rsid w:val="00310BF5"/>
    <w:rsid w:val="00314380"/>
    <w:rsid w:val="00315C2C"/>
    <w:rsid w:val="00315CFF"/>
    <w:rsid w:val="00317860"/>
    <w:rsid w:val="003222CE"/>
    <w:rsid w:val="00324605"/>
    <w:rsid w:val="003262D7"/>
    <w:rsid w:val="00334634"/>
    <w:rsid w:val="00334C7B"/>
    <w:rsid w:val="00336268"/>
    <w:rsid w:val="003363C7"/>
    <w:rsid w:val="0034397C"/>
    <w:rsid w:val="00345C1C"/>
    <w:rsid w:val="003528A4"/>
    <w:rsid w:val="003571B3"/>
    <w:rsid w:val="0036435A"/>
    <w:rsid w:val="003712F1"/>
    <w:rsid w:val="0037599B"/>
    <w:rsid w:val="00377551"/>
    <w:rsid w:val="00384DBB"/>
    <w:rsid w:val="003864A3"/>
    <w:rsid w:val="0039117C"/>
    <w:rsid w:val="00392AD9"/>
    <w:rsid w:val="00393611"/>
    <w:rsid w:val="00397C3A"/>
    <w:rsid w:val="003A5D6A"/>
    <w:rsid w:val="003A6C40"/>
    <w:rsid w:val="003B0407"/>
    <w:rsid w:val="003C4380"/>
    <w:rsid w:val="003D0D09"/>
    <w:rsid w:val="003D2A2C"/>
    <w:rsid w:val="003E05E7"/>
    <w:rsid w:val="003E2690"/>
    <w:rsid w:val="003E6169"/>
    <w:rsid w:val="003F0636"/>
    <w:rsid w:val="003F39EB"/>
    <w:rsid w:val="00404C33"/>
    <w:rsid w:val="004138B9"/>
    <w:rsid w:val="004176C2"/>
    <w:rsid w:val="0042432B"/>
    <w:rsid w:val="00431A0E"/>
    <w:rsid w:val="00440971"/>
    <w:rsid w:val="00445FFB"/>
    <w:rsid w:val="00447E6B"/>
    <w:rsid w:val="00451C4F"/>
    <w:rsid w:val="004520B2"/>
    <w:rsid w:val="0045273F"/>
    <w:rsid w:val="004542DF"/>
    <w:rsid w:val="0046213F"/>
    <w:rsid w:val="0046292F"/>
    <w:rsid w:val="00462C68"/>
    <w:rsid w:val="00467DF4"/>
    <w:rsid w:val="00472609"/>
    <w:rsid w:val="00475FB0"/>
    <w:rsid w:val="00476C5D"/>
    <w:rsid w:val="00484221"/>
    <w:rsid w:val="00487D29"/>
    <w:rsid w:val="00494C19"/>
    <w:rsid w:val="004A3577"/>
    <w:rsid w:val="004A7330"/>
    <w:rsid w:val="004B0431"/>
    <w:rsid w:val="004B580A"/>
    <w:rsid w:val="004B5B4E"/>
    <w:rsid w:val="004C1B28"/>
    <w:rsid w:val="004C328D"/>
    <w:rsid w:val="004C38AD"/>
    <w:rsid w:val="004C5C71"/>
    <w:rsid w:val="004C5CE7"/>
    <w:rsid w:val="004C64C5"/>
    <w:rsid w:val="004C78C2"/>
    <w:rsid w:val="004D1CDE"/>
    <w:rsid w:val="004E09A0"/>
    <w:rsid w:val="004E3F85"/>
    <w:rsid w:val="004F13E8"/>
    <w:rsid w:val="004F393F"/>
    <w:rsid w:val="004F3F09"/>
    <w:rsid w:val="004F4836"/>
    <w:rsid w:val="004F4E21"/>
    <w:rsid w:val="0050368F"/>
    <w:rsid w:val="00511FD2"/>
    <w:rsid w:val="00512330"/>
    <w:rsid w:val="00513F30"/>
    <w:rsid w:val="005140D7"/>
    <w:rsid w:val="00515641"/>
    <w:rsid w:val="00515EC9"/>
    <w:rsid w:val="005200C1"/>
    <w:rsid w:val="00524F34"/>
    <w:rsid w:val="005251CC"/>
    <w:rsid w:val="00530620"/>
    <w:rsid w:val="00533EB1"/>
    <w:rsid w:val="0054102C"/>
    <w:rsid w:val="00543F71"/>
    <w:rsid w:val="00551C1E"/>
    <w:rsid w:val="00554E95"/>
    <w:rsid w:val="00556031"/>
    <w:rsid w:val="0055731A"/>
    <w:rsid w:val="00564FE8"/>
    <w:rsid w:val="005711FF"/>
    <w:rsid w:val="0057169F"/>
    <w:rsid w:val="005733D3"/>
    <w:rsid w:val="00576DB6"/>
    <w:rsid w:val="00583309"/>
    <w:rsid w:val="00590547"/>
    <w:rsid w:val="0059366F"/>
    <w:rsid w:val="005A52B3"/>
    <w:rsid w:val="005A67EC"/>
    <w:rsid w:val="005B1B9B"/>
    <w:rsid w:val="005B2234"/>
    <w:rsid w:val="005B3AFE"/>
    <w:rsid w:val="005B3C1D"/>
    <w:rsid w:val="005C7220"/>
    <w:rsid w:val="005E053C"/>
    <w:rsid w:val="005E1E2D"/>
    <w:rsid w:val="005E70B0"/>
    <w:rsid w:val="005F4695"/>
    <w:rsid w:val="00605587"/>
    <w:rsid w:val="00605A28"/>
    <w:rsid w:val="00606A3D"/>
    <w:rsid w:val="0061201B"/>
    <w:rsid w:val="006132F4"/>
    <w:rsid w:val="00617D96"/>
    <w:rsid w:val="0062214F"/>
    <w:rsid w:val="0063457F"/>
    <w:rsid w:val="00636805"/>
    <w:rsid w:val="0065171E"/>
    <w:rsid w:val="00651737"/>
    <w:rsid w:val="00652215"/>
    <w:rsid w:val="0065395A"/>
    <w:rsid w:val="00654374"/>
    <w:rsid w:val="006543E4"/>
    <w:rsid w:val="00654A68"/>
    <w:rsid w:val="00655FA2"/>
    <w:rsid w:val="006601A3"/>
    <w:rsid w:val="00660B07"/>
    <w:rsid w:val="00663878"/>
    <w:rsid w:val="00664245"/>
    <w:rsid w:val="00666A38"/>
    <w:rsid w:val="00671B1F"/>
    <w:rsid w:val="00676B5A"/>
    <w:rsid w:val="00677ABE"/>
    <w:rsid w:val="00677FAB"/>
    <w:rsid w:val="00686C16"/>
    <w:rsid w:val="00687245"/>
    <w:rsid w:val="006925F3"/>
    <w:rsid w:val="00696CD2"/>
    <w:rsid w:val="00696F48"/>
    <w:rsid w:val="006A2BBA"/>
    <w:rsid w:val="006B2CA8"/>
    <w:rsid w:val="006B5FEB"/>
    <w:rsid w:val="006B7E57"/>
    <w:rsid w:val="006C677F"/>
    <w:rsid w:val="006D27E8"/>
    <w:rsid w:val="006D39A0"/>
    <w:rsid w:val="006D4320"/>
    <w:rsid w:val="006D4488"/>
    <w:rsid w:val="006D77A1"/>
    <w:rsid w:val="006F3298"/>
    <w:rsid w:val="006F4CE7"/>
    <w:rsid w:val="00701783"/>
    <w:rsid w:val="00704DF1"/>
    <w:rsid w:val="00710C38"/>
    <w:rsid w:val="00712020"/>
    <w:rsid w:val="007172EB"/>
    <w:rsid w:val="007261C3"/>
    <w:rsid w:val="00726283"/>
    <w:rsid w:val="0073058E"/>
    <w:rsid w:val="00734A72"/>
    <w:rsid w:val="00734CCA"/>
    <w:rsid w:val="007424CC"/>
    <w:rsid w:val="00744527"/>
    <w:rsid w:val="00760DEB"/>
    <w:rsid w:val="00766748"/>
    <w:rsid w:val="00766887"/>
    <w:rsid w:val="00766984"/>
    <w:rsid w:val="00770D3D"/>
    <w:rsid w:val="00783522"/>
    <w:rsid w:val="00795B48"/>
    <w:rsid w:val="007C396F"/>
    <w:rsid w:val="007C46F7"/>
    <w:rsid w:val="007C5F77"/>
    <w:rsid w:val="007C62FA"/>
    <w:rsid w:val="007D2812"/>
    <w:rsid w:val="007D38AB"/>
    <w:rsid w:val="007D6359"/>
    <w:rsid w:val="007D7FB8"/>
    <w:rsid w:val="007E068D"/>
    <w:rsid w:val="007E0CEE"/>
    <w:rsid w:val="007E4C50"/>
    <w:rsid w:val="007E52B9"/>
    <w:rsid w:val="007E7415"/>
    <w:rsid w:val="007F3468"/>
    <w:rsid w:val="007F48BC"/>
    <w:rsid w:val="007F509C"/>
    <w:rsid w:val="007F50AF"/>
    <w:rsid w:val="007F6AB2"/>
    <w:rsid w:val="00804345"/>
    <w:rsid w:val="00804A81"/>
    <w:rsid w:val="008069BF"/>
    <w:rsid w:val="00810308"/>
    <w:rsid w:val="008107E0"/>
    <w:rsid w:val="00813179"/>
    <w:rsid w:val="00816F36"/>
    <w:rsid w:val="00821098"/>
    <w:rsid w:val="008220C9"/>
    <w:rsid w:val="00834683"/>
    <w:rsid w:val="00840BCE"/>
    <w:rsid w:val="00850798"/>
    <w:rsid w:val="00860332"/>
    <w:rsid w:val="00863B83"/>
    <w:rsid w:val="008658A5"/>
    <w:rsid w:val="00871A37"/>
    <w:rsid w:val="00871B16"/>
    <w:rsid w:val="00880DCB"/>
    <w:rsid w:val="008869ED"/>
    <w:rsid w:val="00890818"/>
    <w:rsid w:val="0089600B"/>
    <w:rsid w:val="008A4E66"/>
    <w:rsid w:val="008B0B2F"/>
    <w:rsid w:val="008B2E9A"/>
    <w:rsid w:val="008B77E8"/>
    <w:rsid w:val="008C051B"/>
    <w:rsid w:val="008C1076"/>
    <w:rsid w:val="008C26A0"/>
    <w:rsid w:val="008C6776"/>
    <w:rsid w:val="008D0680"/>
    <w:rsid w:val="008D3FDA"/>
    <w:rsid w:val="008D4A7F"/>
    <w:rsid w:val="008D4CF7"/>
    <w:rsid w:val="008D506E"/>
    <w:rsid w:val="008E0596"/>
    <w:rsid w:val="008E73EE"/>
    <w:rsid w:val="008F371A"/>
    <w:rsid w:val="008F6A30"/>
    <w:rsid w:val="008F7DD3"/>
    <w:rsid w:val="00900DF9"/>
    <w:rsid w:val="00905E98"/>
    <w:rsid w:val="00906FCE"/>
    <w:rsid w:val="00910599"/>
    <w:rsid w:val="00922A6A"/>
    <w:rsid w:val="009251F8"/>
    <w:rsid w:val="00927196"/>
    <w:rsid w:val="00927BC0"/>
    <w:rsid w:val="00934603"/>
    <w:rsid w:val="0094314A"/>
    <w:rsid w:val="0094585B"/>
    <w:rsid w:val="00952BBC"/>
    <w:rsid w:val="009542D1"/>
    <w:rsid w:val="009554AC"/>
    <w:rsid w:val="00955881"/>
    <w:rsid w:val="0096012D"/>
    <w:rsid w:val="009626B6"/>
    <w:rsid w:val="00967130"/>
    <w:rsid w:val="00973EB0"/>
    <w:rsid w:val="00974607"/>
    <w:rsid w:val="00975188"/>
    <w:rsid w:val="009753C5"/>
    <w:rsid w:val="0097612A"/>
    <w:rsid w:val="00976F04"/>
    <w:rsid w:val="00980A4E"/>
    <w:rsid w:val="00981F09"/>
    <w:rsid w:val="0098643E"/>
    <w:rsid w:val="009910E8"/>
    <w:rsid w:val="009955A9"/>
    <w:rsid w:val="009A0810"/>
    <w:rsid w:val="009A41A4"/>
    <w:rsid w:val="009A4346"/>
    <w:rsid w:val="009A513A"/>
    <w:rsid w:val="009C091C"/>
    <w:rsid w:val="009C14D0"/>
    <w:rsid w:val="009C4027"/>
    <w:rsid w:val="009D4705"/>
    <w:rsid w:val="009D6458"/>
    <w:rsid w:val="009D658F"/>
    <w:rsid w:val="009D7571"/>
    <w:rsid w:val="009E053A"/>
    <w:rsid w:val="009E2679"/>
    <w:rsid w:val="009E30F4"/>
    <w:rsid w:val="00A01BA9"/>
    <w:rsid w:val="00A04761"/>
    <w:rsid w:val="00A11514"/>
    <w:rsid w:val="00A15C39"/>
    <w:rsid w:val="00A24E23"/>
    <w:rsid w:val="00A2565E"/>
    <w:rsid w:val="00A27C76"/>
    <w:rsid w:val="00A359C1"/>
    <w:rsid w:val="00A35F50"/>
    <w:rsid w:val="00A3688B"/>
    <w:rsid w:val="00A41465"/>
    <w:rsid w:val="00A43367"/>
    <w:rsid w:val="00A438DF"/>
    <w:rsid w:val="00A54062"/>
    <w:rsid w:val="00A5593A"/>
    <w:rsid w:val="00A56D83"/>
    <w:rsid w:val="00A648F1"/>
    <w:rsid w:val="00A64AE5"/>
    <w:rsid w:val="00A8041B"/>
    <w:rsid w:val="00A82752"/>
    <w:rsid w:val="00A8332F"/>
    <w:rsid w:val="00A84D06"/>
    <w:rsid w:val="00A8737F"/>
    <w:rsid w:val="00A91CE1"/>
    <w:rsid w:val="00A9411B"/>
    <w:rsid w:val="00A9588B"/>
    <w:rsid w:val="00AA181E"/>
    <w:rsid w:val="00AA6FD4"/>
    <w:rsid w:val="00AA7784"/>
    <w:rsid w:val="00AB2944"/>
    <w:rsid w:val="00AB784A"/>
    <w:rsid w:val="00AC1119"/>
    <w:rsid w:val="00AC508D"/>
    <w:rsid w:val="00AD1031"/>
    <w:rsid w:val="00AD1D7A"/>
    <w:rsid w:val="00AD7285"/>
    <w:rsid w:val="00AE61D2"/>
    <w:rsid w:val="00AE63A8"/>
    <w:rsid w:val="00AE6687"/>
    <w:rsid w:val="00AF3827"/>
    <w:rsid w:val="00AF39E9"/>
    <w:rsid w:val="00AF4AFA"/>
    <w:rsid w:val="00B03806"/>
    <w:rsid w:val="00B17A43"/>
    <w:rsid w:val="00B2514F"/>
    <w:rsid w:val="00B34991"/>
    <w:rsid w:val="00B44220"/>
    <w:rsid w:val="00B51887"/>
    <w:rsid w:val="00B62B8B"/>
    <w:rsid w:val="00B70A96"/>
    <w:rsid w:val="00B75858"/>
    <w:rsid w:val="00B76248"/>
    <w:rsid w:val="00B82BC0"/>
    <w:rsid w:val="00B8333D"/>
    <w:rsid w:val="00B853DB"/>
    <w:rsid w:val="00B85654"/>
    <w:rsid w:val="00B85750"/>
    <w:rsid w:val="00B95B5A"/>
    <w:rsid w:val="00B974D4"/>
    <w:rsid w:val="00BA1C77"/>
    <w:rsid w:val="00BA3728"/>
    <w:rsid w:val="00BA5231"/>
    <w:rsid w:val="00BB1772"/>
    <w:rsid w:val="00BB1D26"/>
    <w:rsid w:val="00BB6B85"/>
    <w:rsid w:val="00BB7BF8"/>
    <w:rsid w:val="00BD52BE"/>
    <w:rsid w:val="00BD5F88"/>
    <w:rsid w:val="00BE78E9"/>
    <w:rsid w:val="00BF0223"/>
    <w:rsid w:val="00BF1D2C"/>
    <w:rsid w:val="00C0380D"/>
    <w:rsid w:val="00C073E9"/>
    <w:rsid w:val="00C10FDA"/>
    <w:rsid w:val="00C11805"/>
    <w:rsid w:val="00C24779"/>
    <w:rsid w:val="00C27098"/>
    <w:rsid w:val="00C30F31"/>
    <w:rsid w:val="00C31245"/>
    <w:rsid w:val="00C34773"/>
    <w:rsid w:val="00C34C1B"/>
    <w:rsid w:val="00C3558F"/>
    <w:rsid w:val="00C43CD0"/>
    <w:rsid w:val="00C443AC"/>
    <w:rsid w:val="00C445CE"/>
    <w:rsid w:val="00C45761"/>
    <w:rsid w:val="00C51F69"/>
    <w:rsid w:val="00C5587A"/>
    <w:rsid w:val="00C615F8"/>
    <w:rsid w:val="00C62EBA"/>
    <w:rsid w:val="00C67674"/>
    <w:rsid w:val="00C677E1"/>
    <w:rsid w:val="00C80DB6"/>
    <w:rsid w:val="00C91191"/>
    <w:rsid w:val="00C94392"/>
    <w:rsid w:val="00C95AD7"/>
    <w:rsid w:val="00CA1385"/>
    <w:rsid w:val="00CA43D7"/>
    <w:rsid w:val="00CA5488"/>
    <w:rsid w:val="00CA64B0"/>
    <w:rsid w:val="00CB0EC9"/>
    <w:rsid w:val="00CC4354"/>
    <w:rsid w:val="00CC6987"/>
    <w:rsid w:val="00CD4D0E"/>
    <w:rsid w:val="00CD59C5"/>
    <w:rsid w:val="00CE53CF"/>
    <w:rsid w:val="00CF0AFE"/>
    <w:rsid w:val="00CF5C09"/>
    <w:rsid w:val="00D00A59"/>
    <w:rsid w:val="00D019E0"/>
    <w:rsid w:val="00D02520"/>
    <w:rsid w:val="00D0795B"/>
    <w:rsid w:val="00D1191F"/>
    <w:rsid w:val="00D12817"/>
    <w:rsid w:val="00D12EE5"/>
    <w:rsid w:val="00D149FC"/>
    <w:rsid w:val="00D16DE0"/>
    <w:rsid w:val="00D219C8"/>
    <w:rsid w:val="00D25780"/>
    <w:rsid w:val="00D31741"/>
    <w:rsid w:val="00D46E46"/>
    <w:rsid w:val="00D514BC"/>
    <w:rsid w:val="00D5592C"/>
    <w:rsid w:val="00D55C24"/>
    <w:rsid w:val="00D6606B"/>
    <w:rsid w:val="00D721E3"/>
    <w:rsid w:val="00D8210F"/>
    <w:rsid w:val="00D87C34"/>
    <w:rsid w:val="00D937C4"/>
    <w:rsid w:val="00D9478C"/>
    <w:rsid w:val="00D947D0"/>
    <w:rsid w:val="00D97E98"/>
    <w:rsid w:val="00DA2C6B"/>
    <w:rsid w:val="00DB7484"/>
    <w:rsid w:val="00DC2C16"/>
    <w:rsid w:val="00DC5B78"/>
    <w:rsid w:val="00DD3B9C"/>
    <w:rsid w:val="00DD5D47"/>
    <w:rsid w:val="00DE075A"/>
    <w:rsid w:val="00DE0EA3"/>
    <w:rsid w:val="00DE3B9D"/>
    <w:rsid w:val="00DE4A7A"/>
    <w:rsid w:val="00DF0744"/>
    <w:rsid w:val="00DF62F2"/>
    <w:rsid w:val="00E00201"/>
    <w:rsid w:val="00E02A4F"/>
    <w:rsid w:val="00E051A6"/>
    <w:rsid w:val="00E200AC"/>
    <w:rsid w:val="00E24025"/>
    <w:rsid w:val="00E36A61"/>
    <w:rsid w:val="00E36D94"/>
    <w:rsid w:val="00E5003F"/>
    <w:rsid w:val="00E51CA0"/>
    <w:rsid w:val="00E540E2"/>
    <w:rsid w:val="00E600BE"/>
    <w:rsid w:val="00E6437A"/>
    <w:rsid w:val="00E647F5"/>
    <w:rsid w:val="00E7487D"/>
    <w:rsid w:val="00E83020"/>
    <w:rsid w:val="00E856F1"/>
    <w:rsid w:val="00E95CA9"/>
    <w:rsid w:val="00E96A8D"/>
    <w:rsid w:val="00EA5CDF"/>
    <w:rsid w:val="00EA6219"/>
    <w:rsid w:val="00EB1589"/>
    <w:rsid w:val="00EB2FCC"/>
    <w:rsid w:val="00EB6E9E"/>
    <w:rsid w:val="00EC063C"/>
    <w:rsid w:val="00EC176B"/>
    <w:rsid w:val="00EC215C"/>
    <w:rsid w:val="00EC2FD2"/>
    <w:rsid w:val="00EE0F08"/>
    <w:rsid w:val="00EE68DB"/>
    <w:rsid w:val="00EF18E0"/>
    <w:rsid w:val="00EF260B"/>
    <w:rsid w:val="00EF2CC8"/>
    <w:rsid w:val="00EF493F"/>
    <w:rsid w:val="00EF5BE4"/>
    <w:rsid w:val="00F00672"/>
    <w:rsid w:val="00F0552F"/>
    <w:rsid w:val="00F123D4"/>
    <w:rsid w:val="00F13306"/>
    <w:rsid w:val="00F144A8"/>
    <w:rsid w:val="00F26E1D"/>
    <w:rsid w:val="00F349C0"/>
    <w:rsid w:val="00F35251"/>
    <w:rsid w:val="00F35A19"/>
    <w:rsid w:val="00F44FA5"/>
    <w:rsid w:val="00F50E4C"/>
    <w:rsid w:val="00F6264D"/>
    <w:rsid w:val="00F66002"/>
    <w:rsid w:val="00F70122"/>
    <w:rsid w:val="00F73F39"/>
    <w:rsid w:val="00F84CCD"/>
    <w:rsid w:val="00F85390"/>
    <w:rsid w:val="00FA50DA"/>
    <w:rsid w:val="00FB3AC9"/>
    <w:rsid w:val="00FC6F53"/>
    <w:rsid w:val="00FD18CE"/>
    <w:rsid w:val="00FD3134"/>
    <w:rsid w:val="00FE19E9"/>
    <w:rsid w:val="00FE2B1F"/>
    <w:rsid w:val="00FE4B85"/>
    <w:rsid w:val="00FE593F"/>
    <w:rsid w:val="00FF04E3"/>
    <w:rsid w:val="00FF7F3C"/>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B1D465"/>
  <w15:docId w15:val="{9D90B033-FEBA-4B33-8A8E-1BBDF0499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31438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14380"/>
  </w:style>
  <w:style w:type="character" w:styleId="Nmerodepgina">
    <w:name w:val="page number"/>
    <w:basedOn w:val="Fuentedeprrafopredeter"/>
    <w:uiPriority w:val="99"/>
    <w:semiHidden/>
    <w:unhideWhenUsed/>
    <w:rsid w:val="00314380"/>
  </w:style>
  <w:style w:type="paragraph" w:styleId="Prrafodelista">
    <w:name w:val="List Paragraph"/>
    <w:basedOn w:val="Normal"/>
    <w:uiPriority w:val="34"/>
    <w:qFormat/>
    <w:rsid w:val="0028539A"/>
    <w:pPr>
      <w:ind w:left="720"/>
      <w:contextualSpacing/>
    </w:pPr>
  </w:style>
  <w:style w:type="character" w:customStyle="1" w:styleId="apple-converted-space">
    <w:name w:val="apple-converted-space"/>
    <w:basedOn w:val="Fuentedeprrafopredeter"/>
    <w:rsid w:val="0018332B"/>
  </w:style>
  <w:style w:type="paragraph" w:styleId="Textodeglobo">
    <w:name w:val="Balloon Text"/>
    <w:basedOn w:val="Normal"/>
    <w:link w:val="TextodegloboCar"/>
    <w:uiPriority w:val="99"/>
    <w:semiHidden/>
    <w:unhideWhenUsed/>
    <w:rsid w:val="00B8333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833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3295</Words>
  <Characters>18125</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Parra</dc:creator>
  <cp:keywords/>
  <dc:description/>
  <cp:lastModifiedBy>Marilyn_Lopez</cp:lastModifiedBy>
  <cp:revision>2</cp:revision>
  <cp:lastPrinted>2016-05-26T12:20:00Z</cp:lastPrinted>
  <dcterms:created xsi:type="dcterms:W3CDTF">2016-05-26T18:49:00Z</dcterms:created>
  <dcterms:modified xsi:type="dcterms:W3CDTF">2016-05-26T18:49:00Z</dcterms:modified>
</cp:coreProperties>
</file>